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CD" w:rsidRPr="001E280C" w:rsidRDefault="003E33AB">
      <w:pPr>
        <w:rPr>
          <w:rFonts w:asciiTheme="minorHAnsi" w:hAnsiTheme="minorHAnsi"/>
        </w:rPr>
      </w:pPr>
      <w:r w:rsidRPr="001E280C">
        <w:rPr>
          <w:rFonts w:asciiTheme="minorHAnsi" w:hAnsiTheme="minorHAnsi"/>
          <w:noProof/>
        </w:rPr>
        <mc:AlternateContent>
          <mc:Choice Requires="wps">
            <w:drawing>
              <wp:anchor distT="0" distB="0" distL="114300" distR="114300" simplePos="0" relativeHeight="251659264" behindDoc="0" locked="0" layoutInCell="1" allowOverlap="1" wp14:anchorId="46314B2B" wp14:editId="6C1D8C2E">
                <wp:simplePos x="0" y="0"/>
                <wp:positionH relativeFrom="column">
                  <wp:posOffset>-372287</wp:posOffset>
                </wp:positionH>
                <wp:positionV relativeFrom="paragraph">
                  <wp:posOffset>-483959</wp:posOffset>
                </wp:positionV>
                <wp:extent cx="6656070" cy="568960"/>
                <wp:effectExtent l="0" t="0" r="11430"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070" cy="568960"/>
                        </a:xfrm>
                        <a:prstGeom prst="rect">
                          <a:avLst/>
                        </a:prstGeom>
                        <a:solidFill>
                          <a:srgbClr val="DDD8C2">
                            <a:alpha val="45000"/>
                          </a:srgbClr>
                        </a:solidFill>
                        <a:ln w="9525" cap="rnd">
                          <a:solidFill>
                            <a:srgbClr val="C4BC96"/>
                          </a:solidFill>
                          <a:prstDash val="sysDot"/>
                          <a:miter lim="800000"/>
                          <a:headEnd/>
                          <a:tailEnd/>
                        </a:ln>
                      </wps:spPr>
                      <wps:txbx>
                        <w:txbxContent>
                          <w:p w:rsidR="003E33AB" w:rsidRPr="005B760D" w:rsidRDefault="005B760D" w:rsidP="00705F1B">
                            <w:pPr>
                              <w:jc w:val="center"/>
                              <w:rPr>
                                <w:b/>
                                <w:color w:val="7F7F7F"/>
                                <w:sz w:val="18"/>
                              </w:rPr>
                            </w:pPr>
                            <w:r w:rsidRPr="005B760D">
                              <w:rPr>
                                <w:rFonts w:ascii="Calibri" w:hAnsi="Calibri" w:cs="Calibri"/>
                                <w:b/>
                                <w:color w:val="7F7F7F"/>
                                <w:sz w:val="28"/>
                                <w:szCs w:val="32"/>
                              </w:rPr>
                              <w:t>Version finale</w:t>
                            </w:r>
                            <w:r w:rsidR="003E33AB" w:rsidRPr="005B760D">
                              <w:rPr>
                                <w:rFonts w:ascii="Calibri" w:hAnsi="Calibri" w:cs="Calibri"/>
                                <w:b/>
                                <w:color w:val="7F7F7F"/>
                                <w:sz w:val="28"/>
                                <w:szCs w:val="32"/>
                              </w:rPr>
                              <w:t xml:space="preserve"> : </w:t>
                            </w:r>
                            <w:r w:rsidRPr="005B760D">
                              <w:rPr>
                                <w:rFonts w:ascii="Calibri" w:hAnsi="Calibri" w:cs="Calibri"/>
                                <w:b/>
                                <w:color w:val="7F7F7F"/>
                                <w:sz w:val="28"/>
                                <w:szCs w:val="32"/>
                              </w:rPr>
                              <w:t xml:space="preserve">Trame </w:t>
                            </w:r>
                            <w:r w:rsidR="003E33AB" w:rsidRPr="005B760D">
                              <w:rPr>
                                <w:rFonts w:ascii="Calibri" w:hAnsi="Calibri" w:cs="Calibri"/>
                                <w:b/>
                                <w:color w:val="7F7F7F"/>
                                <w:sz w:val="28"/>
                                <w:szCs w:val="32"/>
                              </w:rPr>
                              <w:t xml:space="preserve">commune </w:t>
                            </w:r>
                            <w:proofErr w:type="spellStart"/>
                            <w:proofErr w:type="gramStart"/>
                            <w:r w:rsidR="003E33AB" w:rsidRPr="005B760D">
                              <w:rPr>
                                <w:rFonts w:ascii="Calibri" w:hAnsi="Calibri" w:cs="Calibri"/>
                                <w:b/>
                                <w:color w:val="7F7F7F"/>
                                <w:sz w:val="28"/>
                                <w:szCs w:val="32"/>
                              </w:rPr>
                              <w:t>interfonds</w:t>
                            </w:r>
                            <w:proofErr w:type="spellEnd"/>
                            <w:proofErr w:type="gramEnd"/>
                            <w:r w:rsidR="003E33AB" w:rsidRPr="005B760D">
                              <w:rPr>
                                <w:rFonts w:ascii="Calibri" w:hAnsi="Calibri" w:cs="Calibri"/>
                                <w:b/>
                                <w:color w:val="7F7F7F"/>
                                <w:sz w:val="28"/>
                                <w:szCs w:val="32"/>
                              </w:rPr>
                              <w:t xml:space="preserve"> 2014-2020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9.3pt;margin-top:-38.1pt;width:524.1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" fillcolor="#ddd8c2" strokecolor="#c4bc96">
                <v:fill opacity="29555f"/>
                <v:stroke dashstyle="1 1" endcap="round"/>
                <v:textbox>
                  <w:txbxContent>
                    <w:p w:rsidR="003E33AB" w:rsidRPr="005B760D" w:rsidRDefault="005B760D" w:rsidP="00705F1B">
                      <w:pPr>
                        <w:jc w:val="center"/>
                        <w:rPr>
                          <w:b/>
                          <w:color w:val="7F7F7F"/>
                          <w:sz w:val="18"/>
                        </w:rPr>
                      </w:pPr>
                      <w:r w:rsidRPr="005B760D">
                        <w:rPr>
                          <w:rFonts w:ascii="Calibri" w:hAnsi="Calibri" w:cs="Calibri"/>
                          <w:b/>
                          <w:color w:val="7F7F7F"/>
                          <w:sz w:val="28"/>
                          <w:szCs w:val="32"/>
                        </w:rPr>
                        <w:t>Version finale</w:t>
                      </w:r>
                      <w:r w:rsidR="003E33AB" w:rsidRPr="005B760D">
                        <w:rPr>
                          <w:rFonts w:ascii="Calibri" w:hAnsi="Calibri" w:cs="Calibri"/>
                          <w:b/>
                          <w:color w:val="7F7F7F"/>
                          <w:sz w:val="28"/>
                          <w:szCs w:val="32"/>
                        </w:rPr>
                        <w:t xml:space="preserve"> : </w:t>
                      </w:r>
                      <w:r w:rsidRPr="005B760D">
                        <w:rPr>
                          <w:rFonts w:ascii="Calibri" w:hAnsi="Calibri" w:cs="Calibri"/>
                          <w:b/>
                          <w:color w:val="7F7F7F"/>
                          <w:sz w:val="28"/>
                          <w:szCs w:val="32"/>
                        </w:rPr>
                        <w:t xml:space="preserve">Trame </w:t>
                      </w:r>
                      <w:r w:rsidR="003E33AB" w:rsidRPr="005B760D">
                        <w:rPr>
                          <w:rFonts w:ascii="Calibri" w:hAnsi="Calibri" w:cs="Calibri"/>
                          <w:b/>
                          <w:color w:val="7F7F7F"/>
                          <w:sz w:val="28"/>
                          <w:szCs w:val="32"/>
                        </w:rPr>
                        <w:t>commune interfonds 2014-2020</w:t>
                      </w:r>
                    </w:p>
                  </w:txbxContent>
                </v:textbox>
              </v:rect>
            </w:pict>
          </mc:Fallback>
        </mc:AlternateContent>
      </w:r>
    </w:p>
    <w:tbl>
      <w:tblPr>
        <w:tblW w:w="9371" w:type="dxa"/>
        <w:tblInd w:w="55" w:type="dxa"/>
        <w:shd w:val="clear" w:color="auto" w:fill="31849B" w:themeFill="accent5" w:themeFillShade="BF"/>
        <w:tblCellMar>
          <w:left w:w="70" w:type="dxa"/>
          <w:right w:w="70" w:type="dxa"/>
        </w:tblCellMar>
        <w:tblLook w:val="04A0" w:firstRow="1" w:lastRow="0" w:firstColumn="1" w:lastColumn="0" w:noHBand="0" w:noVBand="1"/>
      </w:tblPr>
      <w:tblGrid>
        <w:gridCol w:w="9371"/>
      </w:tblGrid>
      <w:tr w:rsidR="007D3FFC" w:rsidRPr="001E280C" w:rsidTr="007D3FFC">
        <w:trPr>
          <w:trHeight w:val="570"/>
        </w:trPr>
        <w:tc>
          <w:tcPr>
            <w:tcW w:w="9371" w:type="dxa"/>
            <w:tcBorders>
              <w:top w:val="single" w:sz="8" w:space="0" w:color="C4BD97"/>
              <w:left w:val="single" w:sz="8" w:space="0" w:color="C4BD97"/>
              <w:bottom w:val="single" w:sz="8" w:space="0" w:color="C4BD97"/>
              <w:right w:val="single" w:sz="8" w:space="0" w:color="C4BD97"/>
            </w:tcBorders>
            <w:shd w:val="clear" w:color="auto" w:fill="31849B" w:themeFill="accent5" w:themeFillShade="BF"/>
            <w:vAlign w:val="center"/>
            <w:hideMark/>
          </w:tcPr>
          <w:p w:rsidR="00075D3A" w:rsidRPr="001E280C" w:rsidRDefault="00075D3A" w:rsidP="00075D3A">
            <w:pPr>
              <w:jc w:val="center"/>
              <w:rPr>
                <w:rFonts w:asciiTheme="minorHAnsi" w:hAnsiTheme="minorHAnsi" w:cstheme="minorHAnsi"/>
                <w:b/>
                <w:bCs/>
                <w:color w:val="FFFFFF" w:themeColor="background1"/>
                <w:sz w:val="24"/>
              </w:rPr>
            </w:pPr>
            <w:r w:rsidRPr="001E280C">
              <w:rPr>
                <w:rFonts w:asciiTheme="minorHAnsi" w:hAnsiTheme="minorHAnsi" w:cstheme="minorHAnsi"/>
                <w:b/>
                <w:bCs/>
                <w:color w:val="FFFFFF" w:themeColor="background1"/>
                <w:sz w:val="24"/>
              </w:rPr>
              <w:t>NOTICE EXPLICATIVE</w:t>
            </w:r>
          </w:p>
          <w:p w:rsidR="002370CD" w:rsidRPr="001E280C" w:rsidRDefault="00075D3A" w:rsidP="00075D3A">
            <w:pPr>
              <w:jc w:val="center"/>
              <w:rPr>
                <w:rFonts w:asciiTheme="minorHAnsi" w:hAnsiTheme="minorHAnsi" w:cstheme="minorHAnsi"/>
                <w:b/>
                <w:bCs/>
                <w:color w:val="FFFFFF" w:themeColor="background1"/>
              </w:rPr>
            </w:pPr>
            <w:r w:rsidRPr="001E280C">
              <w:rPr>
                <w:rFonts w:asciiTheme="minorHAnsi" w:hAnsiTheme="minorHAnsi" w:cstheme="minorHAnsi"/>
                <w:b/>
                <w:bCs/>
                <w:color w:val="FFFFFF" w:themeColor="background1"/>
                <w:sz w:val="24"/>
              </w:rPr>
              <w:t>Annexe</w:t>
            </w:r>
            <w:r w:rsidR="005B05F7" w:rsidRPr="001E280C">
              <w:rPr>
                <w:rFonts w:asciiTheme="minorHAnsi" w:hAnsiTheme="minorHAnsi" w:cstheme="minorHAnsi"/>
                <w:b/>
                <w:bCs/>
                <w:color w:val="FFFFFF" w:themeColor="background1"/>
                <w:sz w:val="24"/>
              </w:rPr>
              <w:t xml:space="preserve"> « commande publique »</w:t>
            </w:r>
            <w:r w:rsidR="00CC62FF" w:rsidRPr="001E280C">
              <w:rPr>
                <w:rFonts w:asciiTheme="minorHAnsi" w:hAnsiTheme="minorHAnsi" w:cstheme="minorHAnsi"/>
                <w:b/>
                <w:bCs/>
                <w:color w:val="FFFFFF" w:themeColor="background1"/>
                <w:sz w:val="24"/>
              </w:rPr>
              <w:br/>
            </w:r>
            <w:r w:rsidR="00245D59" w:rsidRPr="001E280C">
              <w:rPr>
                <w:rFonts w:asciiTheme="minorHAnsi" w:hAnsiTheme="minorHAnsi" w:cstheme="minorHAnsi"/>
                <w:b/>
                <w:bCs/>
                <w:smallCaps/>
                <w:color w:val="FFFFFF" w:themeColor="background1"/>
                <w:sz w:val="24"/>
              </w:rPr>
              <w:t>Programmation 2014-2020</w:t>
            </w:r>
          </w:p>
        </w:tc>
      </w:tr>
    </w:tbl>
    <w:p w:rsidR="00B754E5" w:rsidRPr="005B3897" w:rsidRDefault="00B754E5" w:rsidP="00B754E5">
      <w:pPr>
        <w:shd w:val="clear" w:color="auto" w:fill="FFFFFF"/>
        <w:jc w:val="center"/>
        <w:rPr>
          <w:rFonts w:asciiTheme="minorHAnsi" w:hAnsiTheme="minorHAnsi" w:cs="Calibri"/>
          <w:smallCaps/>
        </w:rPr>
      </w:pPr>
      <w:r w:rsidRPr="001E280C">
        <w:rPr>
          <w:rFonts w:asciiTheme="minorHAnsi" w:hAnsiTheme="minorHAnsi" w:cs="Calibri"/>
          <w:smallCaps/>
          <w:sz w:val="22"/>
        </w:rPr>
        <w:t xml:space="preserve">Cadre règlementaire : </w:t>
      </w:r>
      <w:r w:rsidRPr="00F55E5D">
        <w:rPr>
          <w:rFonts w:asciiTheme="minorHAnsi" w:hAnsiTheme="minorHAnsi" w:cs="Calibri"/>
          <w:smallCaps/>
          <w:sz w:val="22"/>
        </w:rPr>
        <w:t xml:space="preserve">&lt; fonds </w:t>
      </w:r>
      <w:r w:rsidRPr="005B3897">
        <w:rPr>
          <w:rFonts w:asciiTheme="minorHAnsi" w:hAnsiTheme="minorHAnsi" w:cs="Calibri"/>
          <w:smallCaps/>
          <w:sz w:val="22"/>
        </w:rPr>
        <w:t>&gt;</w:t>
      </w:r>
      <w:r w:rsidR="00F55E5D" w:rsidRPr="005B3897">
        <w:rPr>
          <w:rFonts w:asciiTheme="minorHAnsi" w:hAnsiTheme="minorHAnsi" w:cs="Calibri"/>
          <w:smallCaps/>
          <w:sz w:val="22"/>
        </w:rPr>
        <w:t xml:space="preserve">, </w:t>
      </w:r>
      <w:r w:rsidRPr="005B3897">
        <w:rPr>
          <w:rFonts w:asciiTheme="minorHAnsi" w:hAnsiTheme="minorHAnsi" w:cs="Calibri"/>
          <w:smallCaps/>
          <w:sz w:val="22"/>
        </w:rPr>
        <w:t xml:space="preserve"> </w:t>
      </w:r>
      <w:r w:rsidR="00F55E5D" w:rsidRPr="005B3897">
        <w:rPr>
          <w:rFonts w:asciiTheme="minorHAnsi" w:hAnsiTheme="minorHAnsi" w:cs="Calibri"/>
          <w:smallCaps/>
          <w:sz w:val="22"/>
        </w:rPr>
        <w:t>&lt; programme &gt;,</w:t>
      </w:r>
      <w:r w:rsidRPr="005B3897">
        <w:rPr>
          <w:rFonts w:asciiTheme="minorHAnsi" w:hAnsiTheme="minorHAnsi" w:cs="Calibri"/>
          <w:smallCaps/>
          <w:sz w:val="22"/>
        </w:rPr>
        <w:t xml:space="preserve"> &lt; </w:t>
      </w:r>
      <w:r w:rsidR="00F55E5D" w:rsidRPr="005B3897">
        <w:rPr>
          <w:rFonts w:asciiTheme="minorHAnsi" w:hAnsiTheme="minorHAnsi" w:cs="Calibri"/>
          <w:smallCaps/>
          <w:sz w:val="22"/>
        </w:rPr>
        <w:t>autorité de gestion</w:t>
      </w:r>
      <w:r w:rsidRPr="005B3897">
        <w:rPr>
          <w:rFonts w:asciiTheme="minorHAnsi" w:hAnsiTheme="minorHAnsi" w:cs="Calibri"/>
          <w:smallCaps/>
          <w:sz w:val="22"/>
        </w:rPr>
        <w:t xml:space="preserve"> &gt;</w:t>
      </w:r>
    </w:p>
    <w:p w:rsidR="002370CD" w:rsidRPr="005B3897" w:rsidRDefault="002370CD" w:rsidP="00CC62FF">
      <w:pPr>
        <w:rPr>
          <w:rFonts w:asciiTheme="minorHAnsi" w:hAnsiTheme="minorHAnsi" w:cstheme="minorHAnsi"/>
          <w:szCs w:val="16"/>
        </w:rPr>
      </w:pPr>
    </w:p>
    <w:p w:rsidR="00C2468D" w:rsidRPr="005B3897" w:rsidRDefault="00C2468D" w:rsidP="00C2468D">
      <w:pPr>
        <w:pStyle w:val="Notedebasdepage"/>
        <w:jc w:val="both"/>
        <w:rPr>
          <w:rFonts w:asciiTheme="minorHAnsi" w:hAnsiTheme="minorHAnsi"/>
          <w:i/>
        </w:rPr>
      </w:pPr>
      <w:r w:rsidRPr="005B3897">
        <w:rPr>
          <w:rFonts w:asciiTheme="minorHAnsi" w:hAnsiTheme="minorHAnsi" w:cstheme="minorHAnsi"/>
          <w:i/>
          <w:szCs w:val="16"/>
        </w:rPr>
        <w:t xml:space="preserve">Cette notice est établie principalement à partir des éléments mis à disposition par la </w:t>
      </w:r>
      <w:r w:rsidRPr="005B3897">
        <w:rPr>
          <w:rFonts w:asciiTheme="minorHAnsi" w:hAnsiTheme="minorHAnsi"/>
          <w:i/>
        </w:rPr>
        <w:t>direction des Affaires Juridiques du Ministère de l’Economie et des Finances sur son site Internet.</w:t>
      </w:r>
    </w:p>
    <w:p w:rsidR="00C2468D" w:rsidRPr="005B3897" w:rsidRDefault="00B227C8" w:rsidP="00C2468D">
      <w:pPr>
        <w:jc w:val="both"/>
        <w:rPr>
          <w:rFonts w:asciiTheme="minorHAnsi" w:hAnsiTheme="minorHAnsi"/>
          <w:i/>
        </w:rPr>
      </w:pPr>
      <w:hyperlink r:id="rId9" w:history="1">
        <w:r w:rsidR="00C2468D" w:rsidRPr="005B3897">
          <w:rPr>
            <w:rStyle w:val="Lienhypertexte"/>
            <w:rFonts w:asciiTheme="minorHAnsi" w:hAnsiTheme="minorHAnsi"/>
            <w:i/>
            <w:color w:val="auto"/>
          </w:rPr>
          <w:t>http://www.economie.gouv.fr/daj</w:t>
        </w:r>
      </w:hyperlink>
    </w:p>
    <w:p w:rsidR="00C2468D" w:rsidRDefault="00C2468D" w:rsidP="00C2468D">
      <w:pPr>
        <w:jc w:val="both"/>
        <w:rPr>
          <w:rFonts w:asciiTheme="minorHAnsi" w:hAnsiTheme="minorHAnsi"/>
          <w:i/>
        </w:rPr>
      </w:pPr>
      <w:r w:rsidRPr="005B3897">
        <w:rPr>
          <w:rFonts w:asciiTheme="minorHAnsi" w:hAnsiTheme="minorHAnsi"/>
          <w:i/>
        </w:rPr>
        <w:t>Ce site comporte de nombreux documents récapitulatifs, sous formes de fiches et de tableaux notamment, synthétisant les règles applicables en matière de commande publique.</w:t>
      </w:r>
    </w:p>
    <w:p w:rsidR="004F3CF7" w:rsidRDefault="004F3CF7" w:rsidP="00C2468D">
      <w:pPr>
        <w:jc w:val="both"/>
        <w:rPr>
          <w:rFonts w:asciiTheme="minorHAnsi" w:hAnsiTheme="minorHAnsi"/>
          <w:i/>
        </w:rPr>
      </w:pPr>
    </w:p>
    <w:p w:rsidR="004F3CF7" w:rsidRPr="004F3CF7" w:rsidRDefault="004F3CF7" w:rsidP="004F3CF7">
      <w:pPr>
        <w:rPr>
          <w:rFonts w:asciiTheme="minorHAnsi" w:hAnsiTheme="minorHAnsi" w:cstheme="minorHAnsi"/>
          <w:szCs w:val="16"/>
        </w:rPr>
      </w:pPr>
      <w:r w:rsidRPr="004F3CF7">
        <w:rPr>
          <w:rFonts w:asciiTheme="minorHAnsi" w:hAnsiTheme="minorHAnsi" w:cstheme="minorHAnsi"/>
          <w:szCs w:val="16"/>
        </w:rPr>
        <w:t>Les marchés publics sont des contrats conclus à titre onéreux entre les acheteurs et des opérateurs économiques publics ou privés, pour répondre à des besoins en matière de travaux, de fournitures ou de services. (Art 4 de l’ordonnance du 23 juillet 2015).</w:t>
      </w:r>
    </w:p>
    <w:p w:rsidR="004F3CF7" w:rsidRPr="004F3CF7" w:rsidRDefault="004F3CF7" w:rsidP="004F3CF7">
      <w:pPr>
        <w:rPr>
          <w:rFonts w:asciiTheme="minorHAnsi" w:hAnsiTheme="minorHAnsi" w:cstheme="minorHAnsi"/>
          <w:szCs w:val="16"/>
        </w:rPr>
      </w:pPr>
      <w:r w:rsidRPr="004F3CF7">
        <w:rPr>
          <w:rFonts w:asciiTheme="minorHAnsi" w:hAnsiTheme="minorHAnsi" w:cstheme="minorHAnsi"/>
          <w:szCs w:val="16"/>
        </w:rPr>
        <w:t>La transposition des directives 2004/17/CE et 2004/18/CE en droit français a engendré 2 corpus de textes :</w:t>
      </w:r>
    </w:p>
    <w:p w:rsidR="004F3CF7" w:rsidRPr="004F3CF7" w:rsidRDefault="004F3CF7" w:rsidP="004F3CF7">
      <w:pPr>
        <w:pStyle w:val="Paragraphedeliste"/>
        <w:numPr>
          <w:ilvl w:val="0"/>
          <w:numId w:val="27"/>
        </w:numPr>
        <w:spacing w:after="200" w:line="276" w:lineRule="auto"/>
        <w:jc w:val="both"/>
        <w:rPr>
          <w:rFonts w:asciiTheme="minorHAnsi" w:hAnsiTheme="minorHAnsi" w:cstheme="minorHAnsi"/>
          <w:szCs w:val="16"/>
        </w:rPr>
      </w:pPr>
      <w:r w:rsidRPr="004F3CF7">
        <w:rPr>
          <w:rFonts w:asciiTheme="minorHAnsi" w:hAnsiTheme="minorHAnsi" w:cstheme="minorHAnsi"/>
          <w:szCs w:val="16"/>
        </w:rPr>
        <w:t>le code des marchés publics (CMP)</w:t>
      </w:r>
    </w:p>
    <w:p w:rsidR="004F3CF7" w:rsidRPr="004F3CF7" w:rsidRDefault="004F3CF7" w:rsidP="004F3CF7">
      <w:pPr>
        <w:pStyle w:val="Paragraphedeliste"/>
        <w:numPr>
          <w:ilvl w:val="0"/>
          <w:numId w:val="27"/>
        </w:numPr>
        <w:spacing w:after="200" w:line="276" w:lineRule="auto"/>
        <w:jc w:val="both"/>
        <w:rPr>
          <w:rFonts w:asciiTheme="minorHAnsi" w:hAnsiTheme="minorHAnsi" w:cstheme="minorHAnsi"/>
          <w:szCs w:val="16"/>
        </w:rPr>
      </w:pPr>
      <w:r w:rsidRPr="004F3CF7">
        <w:rPr>
          <w:rFonts w:asciiTheme="minorHAnsi" w:hAnsiTheme="minorHAnsi" w:cstheme="minorHAnsi"/>
          <w:szCs w:val="16"/>
        </w:rPr>
        <w:t xml:space="preserve">l’ordonnance n°2005-649 du 6 juin 2005 relative aux marchés passés par certaines personnes publiques ou privées non soumises au code des marchés publics et ses décrets d’application : </w:t>
      </w:r>
    </w:p>
    <w:p w:rsidR="004F3CF7" w:rsidRPr="004F3CF7" w:rsidRDefault="004F3CF7" w:rsidP="004F3CF7">
      <w:pPr>
        <w:pStyle w:val="Paragraphedeliste"/>
        <w:numPr>
          <w:ilvl w:val="1"/>
          <w:numId w:val="27"/>
        </w:numPr>
        <w:spacing w:after="200" w:line="276" w:lineRule="auto"/>
        <w:ind w:left="1440" w:hanging="360"/>
        <w:jc w:val="both"/>
        <w:rPr>
          <w:rFonts w:asciiTheme="minorHAnsi" w:hAnsiTheme="minorHAnsi" w:cstheme="minorHAnsi"/>
          <w:szCs w:val="16"/>
        </w:rPr>
      </w:pPr>
      <w:r w:rsidRPr="004F3CF7">
        <w:rPr>
          <w:rFonts w:asciiTheme="minorHAnsi" w:hAnsiTheme="minorHAnsi" w:cstheme="minorHAnsi"/>
          <w:szCs w:val="16"/>
        </w:rPr>
        <w:t xml:space="preserve"> décret n°2005-1308 du 20 octobre 2005 relatif aux marchés passés par les entités adjudicatrices mentionnées à l'article 4 de l'ordonnance n° 2005-649 du 6 juin 2005 relative aux marchés passés par certaines personnes publiques ou privées non soumises au code des marchés publics</w:t>
      </w:r>
    </w:p>
    <w:p w:rsidR="004F3CF7" w:rsidRPr="004F3CF7" w:rsidRDefault="004F3CF7" w:rsidP="004F3CF7">
      <w:pPr>
        <w:pStyle w:val="Paragraphedeliste"/>
        <w:numPr>
          <w:ilvl w:val="0"/>
          <w:numId w:val="30"/>
        </w:numPr>
        <w:spacing w:after="200" w:line="300" w:lineRule="auto"/>
        <w:rPr>
          <w:rFonts w:asciiTheme="minorHAnsi" w:hAnsiTheme="minorHAnsi" w:cstheme="minorHAnsi"/>
          <w:szCs w:val="16"/>
        </w:rPr>
      </w:pPr>
      <w:r w:rsidRPr="004F3CF7">
        <w:rPr>
          <w:rFonts w:asciiTheme="minorHAnsi" w:hAnsiTheme="minorHAnsi" w:cstheme="minorHAnsi"/>
          <w:szCs w:val="16"/>
        </w:rPr>
        <w:t>décret n°2005-1742 du 30 décembre 2005 fixant les règles applicables aux marchés passés par les acheteurs mentionnés à l'article 3 de l'ordonnance n° 2005-649 du 6 juin 2005 relative aux marchés passés par certaines personnes publiques ou privées non soumises au code des marchés publics</w:t>
      </w:r>
    </w:p>
    <w:p w:rsidR="004F3CF7" w:rsidRPr="004F3CF7" w:rsidRDefault="004F3CF7" w:rsidP="004F3CF7">
      <w:pPr>
        <w:rPr>
          <w:rFonts w:asciiTheme="minorHAnsi" w:hAnsiTheme="minorHAnsi" w:cstheme="minorHAnsi"/>
          <w:color w:val="FF0000"/>
          <w:szCs w:val="16"/>
        </w:rPr>
      </w:pPr>
      <w:r w:rsidRPr="004F3CF7">
        <w:rPr>
          <w:rFonts w:asciiTheme="minorHAnsi" w:hAnsiTheme="minorHAnsi" w:cstheme="minorHAnsi"/>
          <w:color w:val="FF0000"/>
          <w:szCs w:val="16"/>
        </w:rPr>
        <w:t>Ces deux directives européennes ont été abrogées, les nouveaux textes de référence sont les suivants :</w:t>
      </w:r>
    </w:p>
    <w:p w:rsidR="004F3CF7" w:rsidRDefault="004F3CF7" w:rsidP="004F3CF7"/>
    <w:p w:rsidR="004F3CF7" w:rsidRPr="004F3CF7" w:rsidRDefault="004F3CF7" w:rsidP="004F3CF7">
      <w:pPr>
        <w:rPr>
          <w:rFonts w:asciiTheme="minorHAnsi" w:hAnsiTheme="minorHAnsi"/>
          <w:u w:val="single"/>
        </w:rPr>
      </w:pPr>
      <w:r w:rsidRPr="004F3CF7">
        <w:rPr>
          <w:rFonts w:asciiTheme="minorHAnsi" w:hAnsiTheme="minorHAnsi"/>
          <w:u w:val="single"/>
        </w:rPr>
        <w:t xml:space="preserve">Au niveau européen  </w:t>
      </w:r>
    </w:p>
    <w:p w:rsidR="004F3CF7" w:rsidRPr="004F3CF7" w:rsidRDefault="004F3CF7" w:rsidP="004F3CF7">
      <w:pPr>
        <w:pStyle w:val="Normal1"/>
        <w:numPr>
          <w:ilvl w:val="0"/>
          <w:numId w:val="28"/>
        </w:numPr>
        <w:jc w:val="both"/>
        <w:rPr>
          <w:rFonts w:asciiTheme="minorHAnsi" w:hAnsiTheme="minorHAnsi"/>
          <w:sz w:val="20"/>
          <w:szCs w:val="20"/>
        </w:rPr>
      </w:pPr>
      <w:r w:rsidRPr="004F3CF7">
        <w:rPr>
          <w:rFonts w:asciiTheme="minorHAnsi" w:hAnsiTheme="minorHAnsi"/>
          <w:sz w:val="20"/>
          <w:szCs w:val="20"/>
        </w:rPr>
        <w:t xml:space="preserve">Directive </w:t>
      </w:r>
      <w:hyperlink r:id="rId10" w:history="1">
        <w:r w:rsidRPr="004F3CF7">
          <w:rPr>
            <w:rStyle w:val="Lienhypertexte"/>
            <w:rFonts w:asciiTheme="minorHAnsi" w:eastAsia="MS Mincho" w:hAnsiTheme="minorHAnsi"/>
            <w:sz w:val="20"/>
            <w:szCs w:val="20"/>
          </w:rPr>
          <w:t>2014/24/UE</w:t>
        </w:r>
      </w:hyperlink>
      <w:r w:rsidRPr="004F3CF7">
        <w:rPr>
          <w:rFonts w:asciiTheme="minorHAnsi" w:hAnsiTheme="minorHAnsi"/>
          <w:sz w:val="20"/>
          <w:szCs w:val="20"/>
        </w:rPr>
        <w:t xml:space="preserve"> du Parlement européen et du Conseil du 26 février 2014 sur la </w:t>
      </w:r>
      <w:hyperlink r:id="rId11" w:history="1">
        <w:r w:rsidRPr="004F3CF7">
          <w:rPr>
            <w:rStyle w:val="Lienhypertexte"/>
            <w:rFonts w:asciiTheme="minorHAnsi" w:eastAsia="MS Mincho" w:hAnsiTheme="minorHAnsi"/>
            <w:sz w:val="20"/>
            <w:szCs w:val="20"/>
          </w:rPr>
          <w:t>passation des marchés publics</w:t>
        </w:r>
      </w:hyperlink>
      <w:r w:rsidRPr="004F3CF7">
        <w:rPr>
          <w:rFonts w:asciiTheme="minorHAnsi" w:hAnsiTheme="minorHAnsi"/>
          <w:sz w:val="20"/>
          <w:szCs w:val="20"/>
        </w:rPr>
        <w:t xml:space="preserve"> et abrogeant la directive 2004/18/CE.</w:t>
      </w:r>
    </w:p>
    <w:p w:rsidR="004F3CF7" w:rsidRPr="004F3CF7" w:rsidRDefault="004F3CF7" w:rsidP="004F3CF7">
      <w:pPr>
        <w:pStyle w:val="Normal1"/>
        <w:numPr>
          <w:ilvl w:val="0"/>
          <w:numId w:val="28"/>
        </w:numPr>
        <w:jc w:val="both"/>
        <w:rPr>
          <w:rFonts w:asciiTheme="minorHAnsi" w:hAnsiTheme="minorHAnsi"/>
          <w:sz w:val="20"/>
          <w:szCs w:val="20"/>
        </w:rPr>
      </w:pPr>
      <w:r w:rsidRPr="004F3CF7">
        <w:rPr>
          <w:rFonts w:asciiTheme="minorHAnsi" w:hAnsiTheme="minorHAnsi"/>
          <w:sz w:val="20"/>
          <w:szCs w:val="20"/>
        </w:rPr>
        <w:t xml:space="preserve">Directive </w:t>
      </w:r>
      <w:hyperlink r:id="rId12" w:history="1">
        <w:r w:rsidRPr="004F3CF7">
          <w:rPr>
            <w:rStyle w:val="Lienhypertexte"/>
            <w:rFonts w:asciiTheme="minorHAnsi" w:eastAsia="MS Mincho" w:hAnsiTheme="minorHAnsi"/>
            <w:sz w:val="20"/>
            <w:szCs w:val="20"/>
          </w:rPr>
          <w:t>2014/25/UE</w:t>
        </w:r>
      </w:hyperlink>
      <w:r w:rsidRPr="004F3CF7">
        <w:rPr>
          <w:rFonts w:asciiTheme="minorHAnsi" w:hAnsiTheme="minorHAnsi"/>
          <w:sz w:val="20"/>
          <w:szCs w:val="20"/>
        </w:rPr>
        <w:t xml:space="preserve"> du Parlement européen et du Conseil du 26 février 2014 relative à la passation de marchés par des entités opérant dans les </w:t>
      </w:r>
      <w:hyperlink r:id="rId13" w:history="1">
        <w:r w:rsidRPr="004F3CF7">
          <w:rPr>
            <w:rStyle w:val="Lienhypertexte"/>
            <w:rFonts w:asciiTheme="minorHAnsi" w:eastAsia="MS Mincho" w:hAnsiTheme="minorHAnsi"/>
            <w:sz w:val="20"/>
            <w:szCs w:val="20"/>
          </w:rPr>
          <w:t>secteurs de l’eau, de l’énergie, des transports et des services postaux</w:t>
        </w:r>
      </w:hyperlink>
      <w:r w:rsidRPr="004F3CF7">
        <w:rPr>
          <w:rFonts w:asciiTheme="minorHAnsi" w:hAnsiTheme="minorHAnsi"/>
          <w:sz w:val="20"/>
          <w:szCs w:val="20"/>
        </w:rPr>
        <w:t xml:space="preserve"> et abrogeant la directive 2004/17/CE.</w:t>
      </w:r>
    </w:p>
    <w:p w:rsidR="004F3CF7" w:rsidRPr="004F3CF7" w:rsidRDefault="004F3CF7" w:rsidP="004F3CF7">
      <w:pPr>
        <w:pStyle w:val="Normal1"/>
        <w:numPr>
          <w:ilvl w:val="0"/>
          <w:numId w:val="28"/>
        </w:numPr>
        <w:jc w:val="both"/>
        <w:rPr>
          <w:rFonts w:asciiTheme="minorHAnsi" w:hAnsiTheme="minorHAnsi"/>
          <w:sz w:val="20"/>
          <w:szCs w:val="20"/>
        </w:rPr>
      </w:pPr>
      <w:r w:rsidRPr="004F3CF7">
        <w:rPr>
          <w:rFonts w:asciiTheme="minorHAnsi" w:hAnsiTheme="minorHAnsi"/>
          <w:sz w:val="20"/>
          <w:szCs w:val="20"/>
        </w:rPr>
        <w:t xml:space="preserve">Directive </w:t>
      </w:r>
      <w:hyperlink r:id="rId14" w:history="1">
        <w:r w:rsidRPr="004F3CF7">
          <w:rPr>
            <w:rStyle w:val="Lienhypertexte"/>
            <w:rFonts w:asciiTheme="minorHAnsi" w:eastAsia="MS Mincho" w:hAnsiTheme="minorHAnsi"/>
            <w:sz w:val="20"/>
            <w:szCs w:val="20"/>
          </w:rPr>
          <w:t>2014/23/UE</w:t>
        </w:r>
      </w:hyperlink>
      <w:r w:rsidRPr="004F3CF7">
        <w:rPr>
          <w:rFonts w:asciiTheme="minorHAnsi" w:hAnsiTheme="minorHAnsi"/>
          <w:sz w:val="20"/>
          <w:szCs w:val="20"/>
        </w:rPr>
        <w:t xml:space="preserve"> du Parlement européen et du Conseil du 26 février 2014 sur l’attribution de </w:t>
      </w:r>
      <w:hyperlink r:id="rId15" w:history="1">
        <w:r w:rsidRPr="004F3CF7">
          <w:rPr>
            <w:rStyle w:val="Lienhypertexte"/>
            <w:rFonts w:asciiTheme="minorHAnsi" w:eastAsia="MS Mincho" w:hAnsiTheme="minorHAnsi"/>
            <w:sz w:val="20"/>
            <w:szCs w:val="20"/>
          </w:rPr>
          <w:t>contrats de concession</w:t>
        </w:r>
      </w:hyperlink>
      <w:r w:rsidRPr="004F3CF7">
        <w:rPr>
          <w:rFonts w:asciiTheme="minorHAnsi" w:hAnsiTheme="minorHAnsi"/>
          <w:sz w:val="20"/>
          <w:szCs w:val="20"/>
        </w:rPr>
        <w:t>.</w:t>
      </w:r>
    </w:p>
    <w:p w:rsidR="004F3CF7" w:rsidRPr="004F3CF7" w:rsidRDefault="004F3CF7" w:rsidP="004F3CF7">
      <w:pPr>
        <w:pStyle w:val="Normal1"/>
        <w:numPr>
          <w:ilvl w:val="0"/>
          <w:numId w:val="28"/>
        </w:numPr>
        <w:jc w:val="both"/>
        <w:rPr>
          <w:rFonts w:asciiTheme="minorHAnsi" w:hAnsiTheme="minorHAnsi" w:cstheme="minorHAnsi"/>
          <w:sz w:val="20"/>
          <w:szCs w:val="20"/>
        </w:rPr>
      </w:pPr>
      <w:r w:rsidRPr="004F3CF7">
        <w:rPr>
          <w:rFonts w:asciiTheme="minorHAnsi" w:hAnsiTheme="minorHAnsi"/>
          <w:sz w:val="20"/>
          <w:szCs w:val="20"/>
        </w:rPr>
        <w:t>Le règlement financier UE n°966/2012 et son règlement délégué.</w:t>
      </w:r>
    </w:p>
    <w:p w:rsidR="004F3CF7" w:rsidRPr="004F3CF7" w:rsidRDefault="004F3CF7" w:rsidP="004F3CF7">
      <w:pPr>
        <w:pStyle w:val="Normal1"/>
        <w:jc w:val="both"/>
        <w:rPr>
          <w:rFonts w:asciiTheme="minorHAnsi" w:hAnsiTheme="minorHAnsi" w:cstheme="minorHAnsi"/>
          <w:sz w:val="20"/>
          <w:szCs w:val="16"/>
          <w:u w:val="single"/>
        </w:rPr>
      </w:pPr>
      <w:r w:rsidRPr="004F3CF7">
        <w:rPr>
          <w:rFonts w:asciiTheme="minorHAnsi" w:hAnsiTheme="minorHAnsi" w:cstheme="minorHAnsi"/>
          <w:sz w:val="20"/>
          <w:szCs w:val="16"/>
          <w:u w:val="single"/>
        </w:rPr>
        <w:t xml:space="preserve">Au niveau national </w:t>
      </w:r>
    </w:p>
    <w:p w:rsidR="004F3CF7" w:rsidRPr="004F3CF7" w:rsidRDefault="004F3CF7" w:rsidP="004F3CF7">
      <w:pPr>
        <w:pStyle w:val="Normal1"/>
        <w:numPr>
          <w:ilvl w:val="0"/>
          <w:numId w:val="28"/>
        </w:numPr>
        <w:jc w:val="both"/>
        <w:rPr>
          <w:rFonts w:asciiTheme="minorHAnsi" w:hAnsiTheme="minorHAnsi" w:cstheme="minorHAnsi"/>
          <w:sz w:val="20"/>
          <w:szCs w:val="16"/>
        </w:rPr>
      </w:pPr>
      <w:r w:rsidRPr="004F3CF7">
        <w:rPr>
          <w:rFonts w:asciiTheme="minorHAnsi" w:hAnsiTheme="minorHAnsi" w:cstheme="minorHAnsi"/>
          <w:sz w:val="20"/>
          <w:szCs w:val="16"/>
        </w:rPr>
        <w:t>Ordonnance n°2015-899 du 23 juillet 2015 relative aux marchés publics</w:t>
      </w:r>
    </w:p>
    <w:p w:rsidR="004F3CF7" w:rsidRPr="004F3CF7" w:rsidRDefault="004F3CF7" w:rsidP="004F3CF7">
      <w:pPr>
        <w:pStyle w:val="Normal1"/>
        <w:numPr>
          <w:ilvl w:val="0"/>
          <w:numId w:val="28"/>
        </w:numPr>
        <w:jc w:val="both"/>
        <w:rPr>
          <w:rFonts w:asciiTheme="minorHAnsi" w:hAnsiTheme="minorHAnsi" w:cstheme="minorHAnsi"/>
          <w:sz w:val="20"/>
          <w:szCs w:val="16"/>
        </w:rPr>
      </w:pPr>
      <w:r w:rsidRPr="004F3CF7">
        <w:rPr>
          <w:rFonts w:asciiTheme="minorHAnsi" w:hAnsiTheme="minorHAnsi" w:cstheme="minorHAnsi"/>
          <w:sz w:val="20"/>
          <w:szCs w:val="16"/>
        </w:rPr>
        <w:t>Décret du 25 mars 2016 n°2016-360 relatifs aux marchés publics</w:t>
      </w:r>
    </w:p>
    <w:p w:rsidR="004F3CF7" w:rsidRPr="004F3CF7" w:rsidRDefault="004F3CF7" w:rsidP="004F3CF7">
      <w:pPr>
        <w:pStyle w:val="Normal1"/>
        <w:numPr>
          <w:ilvl w:val="0"/>
          <w:numId w:val="28"/>
        </w:numPr>
        <w:rPr>
          <w:rFonts w:asciiTheme="minorHAnsi" w:hAnsiTheme="minorHAnsi" w:cstheme="minorHAnsi"/>
          <w:sz w:val="20"/>
          <w:szCs w:val="16"/>
        </w:rPr>
      </w:pPr>
      <w:r w:rsidRPr="004F3CF7">
        <w:rPr>
          <w:rFonts w:asciiTheme="minorHAnsi" w:hAnsiTheme="minorHAnsi" w:cstheme="minorHAnsi"/>
          <w:sz w:val="20"/>
          <w:szCs w:val="16"/>
        </w:rPr>
        <w:t>Ordonnance n° 2016-65 du 29 janvier 2016 relative aux contrats de concession</w:t>
      </w:r>
    </w:p>
    <w:p w:rsidR="004F3CF7" w:rsidRPr="004F3CF7" w:rsidRDefault="004F3CF7" w:rsidP="004F3CF7">
      <w:pPr>
        <w:pStyle w:val="Normal1"/>
        <w:numPr>
          <w:ilvl w:val="0"/>
          <w:numId w:val="28"/>
        </w:numPr>
        <w:rPr>
          <w:rFonts w:asciiTheme="minorHAnsi" w:hAnsiTheme="minorHAnsi" w:cstheme="minorHAnsi"/>
          <w:sz w:val="20"/>
          <w:szCs w:val="16"/>
        </w:rPr>
      </w:pPr>
      <w:r w:rsidRPr="004F3CF7">
        <w:rPr>
          <w:rFonts w:asciiTheme="minorHAnsi" w:hAnsiTheme="minorHAnsi" w:cstheme="minorHAnsi"/>
          <w:sz w:val="20"/>
          <w:szCs w:val="16"/>
        </w:rPr>
        <w:t>Décret n° 2016-86 du 1er février 2016 relatif aux contrats de concession</w:t>
      </w:r>
    </w:p>
    <w:p w:rsidR="004F3CF7" w:rsidRPr="004F3CF7" w:rsidRDefault="004F3CF7" w:rsidP="004F3CF7">
      <w:pPr>
        <w:pStyle w:val="Normal1"/>
        <w:numPr>
          <w:ilvl w:val="0"/>
          <w:numId w:val="28"/>
        </w:numPr>
        <w:rPr>
          <w:rFonts w:asciiTheme="minorHAnsi" w:hAnsiTheme="minorHAnsi" w:cstheme="minorHAnsi"/>
          <w:sz w:val="20"/>
          <w:szCs w:val="16"/>
        </w:rPr>
      </w:pPr>
      <w:r w:rsidRPr="004F3CF7">
        <w:rPr>
          <w:rFonts w:asciiTheme="minorHAnsi" w:hAnsiTheme="minorHAnsi" w:cstheme="minorHAnsi"/>
          <w:sz w:val="20"/>
          <w:szCs w:val="16"/>
        </w:rPr>
        <w:t>Décret n° 2016-361 du 25 mars 2016 relatif aux marchés publics de défense ou de sécurité</w:t>
      </w:r>
    </w:p>
    <w:p w:rsidR="004F3CF7" w:rsidRPr="004F3CF7" w:rsidRDefault="004F3CF7" w:rsidP="004F3CF7">
      <w:pPr>
        <w:pStyle w:val="Normal1"/>
        <w:jc w:val="both"/>
        <w:rPr>
          <w:rFonts w:asciiTheme="minorHAnsi" w:hAnsiTheme="minorHAnsi"/>
          <w:sz w:val="20"/>
          <w:szCs w:val="20"/>
        </w:rPr>
      </w:pPr>
      <w:r w:rsidRPr="004F3CF7">
        <w:rPr>
          <w:rFonts w:asciiTheme="minorHAnsi" w:hAnsiTheme="minorHAnsi"/>
          <w:sz w:val="20"/>
          <w:szCs w:val="20"/>
        </w:rPr>
        <w:t>Ils sont accompagnés par un arrêté publié au JO du 31 mars 2016, et une série d’avis publiés au JO du 27 mars 2016</w:t>
      </w:r>
      <w:r w:rsidRPr="004F3CF7">
        <w:rPr>
          <w:rStyle w:val="Appelnotedebasdep"/>
          <w:rFonts w:asciiTheme="minorHAnsi" w:hAnsiTheme="minorHAnsi"/>
          <w:sz w:val="20"/>
          <w:szCs w:val="20"/>
        </w:rPr>
        <w:footnoteReference w:id="1"/>
      </w:r>
      <w:r w:rsidRPr="004F3CF7">
        <w:rPr>
          <w:rFonts w:asciiTheme="minorHAnsi" w:hAnsiTheme="minorHAnsi"/>
          <w:sz w:val="20"/>
          <w:szCs w:val="20"/>
        </w:rPr>
        <w:t> :</w:t>
      </w:r>
    </w:p>
    <w:p w:rsidR="004F3CF7" w:rsidRPr="004F3CF7" w:rsidRDefault="00B227C8" w:rsidP="004F3CF7">
      <w:pPr>
        <w:pStyle w:val="Normal1"/>
        <w:numPr>
          <w:ilvl w:val="0"/>
          <w:numId w:val="29"/>
        </w:numPr>
        <w:jc w:val="both"/>
        <w:rPr>
          <w:rFonts w:asciiTheme="minorHAnsi" w:hAnsiTheme="minorHAnsi"/>
          <w:sz w:val="20"/>
          <w:szCs w:val="20"/>
        </w:rPr>
      </w:pPr>
      <w:hyperlink r:id="rId16" w:history="1">
        <w:r w:rsidR="004F3CF7" w:rsidRPr="004F3CF7">
          <w:rPr>
            <w:rStyle w:val="Lienhypertexte"/>
            <w:rFonts w:asciiTheme="minorHAnsi" w:eastAsia="MS Mincho" w:hAnsiTheme="minorHAnsi"/>
            <w:sz w:val="20"/>
            <w:szCs w:val="20"/>
          </w:rPr>
          <w:t>Arrêté du 29 mars 2016</w:t>
        </w:r>
      </w:hyperlink>
      <w:r w:rsidR="004F3CF7" w:rsidRPr="004F3CF7">
        <w:rPr>
          <w:rFonts w:asciiTheme="minorHAnsi" w:hAnsiTheme="minorHAnsi"/>
          <w:sz w:val="20"/>
          <w:szCs w:val="20"/>
        </w:rPr>
        <w:t xml:space="preserve"> fixant la liste des renseignements et des documents pouvant être demandés aux candidats aux marchés publics</w:t>
      </w:r>
    </w:p>
    <w:p w:rsidR="004F3CF7" w:rsidRPr="004F3CF7" w:rsidRDefault="00B227C8" w:rsidP="004F3CF7">
      <w:pPr>
        <w:pStyle w:val="Normal1"/>
        <w:numPr>
          <w:ilvl w:val="0"/>
          <w:numId w:val="29"/>
        </w:numPr>
        <w:jc w:val="both"/>
        <w:rPr>
          <w:rFonts w:asciiTheme="minorHAnsi" w:hAnsiTheme="minorHAnsi"/>
          <w:sz w:val="20"/>
          <w:szCs w:val="20"/>
        </w:rPr>
      </w:pPr>
      <w:hyperlink r:id="rId17" w:history="1">
        <w:r w:rsidR="004F3CF7" w:rsidRPr="004F3CF7">
          <w:rPr>
            <w:rStyle w:val="Lienhypertexte"/>
            <w:rFonts w:asciiTheme="minorHAnsi" w:eastAsia="MS Mincho" w:hAnsiTheme="minorHAnsi"/>
            <w:sz w:val="20"/>
            <w:szCs w:val="20"/>
          </w:rPr>
          <w:t>Avis relatif aux seuils de procédure</w:t>
        </w:r>
      </w:hyperlink>
      <w:r w:rsidR="004F3CF7" w:rsidRPr="004F3CF7">
        <w:rPr>
          <w:rFonts w:asciiTheme="minorHAnsi" w:hAnsiTheme="minorHAnsi"/>
          <w:sz w:val="20"/>
          <w:szCs w:val="20"/>
        </w:rPr>
        <w:t xml:space="preserve"> et à la liste des autorités publiques centrales en droit de la commande publique</w:t>
      </w:r>
    </w:p>
    <w:p w:rsidR="004F3CF7" w:rsidRPr="004F3CF7" w:rsidRDefault="00B227C8" w:rsidP="004F3CF7">
      <w:pPr>
        <w:pStyle w:val="Normal1"/>
        <w:numPr>
          <w:ilvl w:val="0"/>
          <w:numId w:val="29"/>
        </w:numPr>
        <w:jc w:val="both"/>
        <w:rPr>
          <w:rFonts w:asciiTheme="minorHAnsi" w:hAnsiTheme="minorHAnsi"/>
          <w:sz w:val="20"/>
          <w:szCs w:val="20"/>
        </w:rPr>
      </w:pPr>
      <w:hyperlink r:id="rId18" w:history="1">
        <w:r w:rsidR="004F3CF7" w:rsidRPr="004F3CF7">
          <w:rPr>
            <w:rStyle w:val="Lienhypertexte"/>
            <w:rFonts w:asciiTheme="minorHAnsi" w:eastAsia="MS Mincho" w:hAnsiTheme="minorHAnsi"/>
            <w:sz w:val="20"/>
            <w:szCs w:val="20"/>
          </w:rPr>
          <w:t>Avis relatif à la liste des activités qui sont des travaux</w:t>
        </w:r>
      </w:hyperlink>
      <w:r w:rsidR="004F3CF7" w:rsidRPr="004F3CF7">
        <w:rPr>
          <w:rFonts w:asciiTheme="minorHAnsi" w:hAnsiTheme="minorHAnsi"/>
          <w:sz w:val="20"/>
          <w:szCs w:val="20"/>
        </w:rPr>
        <w:t xml:space="preserve"> en droit de la commande publique</w:t>
      </w:r>
    </w:p>
    <w:p w:rsidR="004F3CF7" w:rsidRPr="004F3CF7" w:rsidRDefault="004F3CF7" w:rsidP="004F3CF7">
      <w:pPr>
        <w:pStyle w:val="Normal1"/>
        <w:numPr>
          <w:ilvl w:val="0"/>
          <w:numId w:val="29"/>
        </w:numPr>
        <w:jc w:val="both"/>
        <w:rPr>
          <w:rFonts w:asciiTheme="minorHAnsi" w:hAnsiTheme="minorHAnsi"/>
          <w:sz w:val="20"/>
          <w:szCs w:val="20"/>
        </w:rPr>
      </w:pPr>
      <w:r w:rsidRPr="004F3CF7">
        <w:rPr>
          <w:rFonts w:asciiTheme="minorHAnsi" w:hAnsiTheme="minorHAnsi"/>
          <w:sz w:val="20"/>
          <w:szCs w:val="20"/>
        </w:rPr>
        <w:t xml:space="preserve">Avis relatifs aux contrats de la commande publique ayant pour objet </w:t>
      </w:r>
      <w:hyperlink r:id="rId19" w:history="1">
        <w:r w:rsidRPr="004F3CF7">
          <w:rPr>
            <w:rStyle w:val="Lienhypertexte"/>
            <w:rFonts w:asciiTheme="minorHAnsi" w:eastAsia="MS Mincho" w:hAnsiTheme="minorHAnsi"/>
            <w:sz w:val="20"/>
            <w:szCs w:val="20"/>
          </w:rPr>
          <w:t>des services sociaux et autres services spécifiques</w:t>
        </w:r>
      </w:hyperlink>
    </w:p>
    <w:p w:rsidR="004F3CF7" w:rsidRPr="004F3CF7" w:rsidRDefault="004F3CF7" w:rsidP="004F3CF7">
      <w:pPr>
        <w:pStyle w:val="Normal1"/>
        <w:numPr>
          <w:ilvl w:val="0"/>
          <w:numId w:val="29"/>
        </w:numPr>
        <w:jc w:val="both"/>
        <w:rPr>
          <w:rFonts w:asciiTheme="minorHAnsi" w:hAnsiTheme="minorHAnsi"/>
          <w:sz w:val="20"/>
          <w:szCs w:val="20"/>
        </w:rPr>
      </w:pPr>
      <w:r w:rsidRPr="004F3CF7">
        <w:rPr>
          <w:rFonts w:asciiTheme="minorHAnsi" w:hAnsiTheme="minorHAnsi"/>
          <w:sz w:val="20"/>
          <w:szCs w:val="20"/>
        </w:rPr>
        <w:t xml:space="preserve">Avis relatif à la liste des dispositions internationales en matière de droit environnemental, social et du travail permettant de rejeter </w:t>
      </w:r>
      <w:hyperlink r:id="rId20" w:history="1">
        <w:r w:rsidRPr="004F3CF7">
          <w:rPr>
            <w:rStyle w:val="Lienhypertexte"/>
            <w:rFonts w:asciiTheme="minorHAnsi" w:eastAsia="MS Mincho" w:hAnsiTheme="minorHAnsi"/>
            <w:sz w:val="20"/>
            <w:szCs w:val="20"/>
          </w:rPr>
          <w:t>une offre comme anormalement basse</w:t>
        </w:r>
      </w:hyperlink>
      <w:r w:rsidRPr="004F3CF7">
        <w:rPr>
          <w:rFonts w:asciiTheme="minorHAnsi" w:hAnsiTheme="minorHAnsi"/>
          <w:sz w:val="20"/>
          <w:szCs w:val="20"/>
        </w:rPr>
        <w:t xml:space="preserve"> en matière de marchés publics</w:t>
      </w:r>
    </w:p>
    <w:p w:rsidR="004F3CF7" w:rsidRPr="004F3CF7" w:rsidRDefault="004F3CF7" w:rsidP="004F3CF7">
      <w:pPr>
        <w:pStyle w:val="Normal1"/>
        <w:numPr>
          <w:ilvl w:val="0"/>
          <w:numId w:val="29"/>
        </w:numPr>
        <w:jc w:val="both"/>
        <w:rPr>
          <w:rFonts w:asciiTheme="minorHAnsi" w:hAnsiTheme="minorHAnsi"/>
          <w:sz w:val="20"/>
          <w:szCs w:val="20"/>
        </w:rPr>
      </w:pPr>
      <w:r w:rsidRPr="004F3CF7">
        <w:rPr>
          <w:rFonts w:asciiTheme="minorHAnsi" w:hAnsiTheme="minorHAnsi"/>
          <w:sz w:val="20"/>
          <w:szCs w:val="20"/>
        </w:rPr>
        <w:t xml:space="preserve">Avis relatif à la nature et au contenu des </w:t>
      </w:r>
      <w:hyperlink r:id="rId21" w:history="1">
        <w:r w:rsidRPr="004F3CF7">
          <w:rPr>
            <w:rStyle w:val="Lienhypertexte"/>
            <w:rFonts w:asciiTheme="minorHAnsi" w:eastAsia="MS Mincho" w:hAnsiTheme="minorHAnsi"/>
            <w:sz w:val="20"/>
            <w:szCs w:val="20"/>
          </w:rPr>
          <w:t>spécifications techniques</w:t>
        </w:r>
      </w:hyperlink>
      <w:r w:rsidRPr="004F3CF7">
        <w:rPr>
          <w:rFonts w:asciiTheme="minorHAnsi" w:hAnsiTheme="minorHAnsi"/>
          <w:sz w:val="20"/>
          <w:szCs w:val="20"/>
        </w:rPr>
        <w:t xml:space="preserve"> dans les marchés publics</w:t>
      </w:r>
    </w:p>
    <w:p w:rsidR="00C2468D" w:rsidRPr="004F3CF7" w:rsidRDefault="004F3CF7" w:rsidP="004F3CF7">
      <w:pPr>
        <w:pStyle w:val="Normal1"/>
        <w:jc w:val="both"/>
        <w:rPr>
          <w:rFonts w:asciiTheme="minorHAnsi" w:hAnsiTheme="minorHAnsi"/>
          <w:i/>
          <w:sz w:val="20"/>
          <w:szCs w:val="20"/>
        </w:rPr>
      </w:pPr>
      <w:r w:rsidRPr="004F3CF7">
        <w:rPr>
          <w:rFonts w:asciiTheme="minorHAnsi" w:hAnsiTheme="minorHAnsi"/>
          <w:b/>
          <w:i/>
          <w:color w:val="FF0000"/>
          <w:sz w:val="20"/>
          <w:szCs w:val="20"/>
          <w:u w:val="single"/>
        </w:rPr>
        <w:t>/ !\ :</w:t>
      </w:r>
      <w:r w:rsidRPr="004F3CF7">
        <w:rPr>
          <w:rFonts w:asciiTheme="minorHAnsi" w:hAnsiTheme="minorHAnsi"/>
          <w:color w:val="FF0000"/>
          <w:sz w:val="20"/>
          <w:szCs w:val="20"/>
        </w:rPr>
        <w:t xml:space="preserve"> </w:t>
      </w:r>
      <w:r w:rsidRPr="004F3CF7">
        <w:rPr>
          <w:rFonts w:asciiTheme="minorHAnsi" w:hAnsiTheme="minorHAnsi"/>
          <w:b/>
          <w:i/>
          <w:sz w:val="20"/>
          <w:szCs w:val="20"/>
        </w:rPr>
        <w:t>Ces textes s’appliquent depuis le 1</w:t>
      </w:r>
      <w:r w:rsidRPr="004F3CF7">
        <w:rPr>
          <w:rFonts w:asciiTheme="minorHAnsi" w:hAnsiTheme="minorHAnsi"/>
          <w:b/>
          <w:i/>
          <w:sz w:val="20"/>
          <w:szCs w:val="20"/>
          <w:vertAlign w:val="superscript"/>
        </w:rPr>
        <w:t>er</w:t>
      </w:r>
      <w:r w:rsidRPr="004F3CF7">
        <w:rPr>
          <w:rFonts w:asciiTheme="minorHAnsi" w:hAnsiTheme="minorHAnsi"/>
          <w:b/>
          <w:i/>
          <w:sz w:val="20"/>
          <w:szCs w:val="20"/>
        </w:rPr>
        <w:t xml:space="preserve"> avril 2016,</w:t>
      </w:r>
      <w:r w:rsidRPr="004F3CF7">
        <w:rPr>
          <w:rFonts w:asciiTheme="minorHAnsi" w:hAnsiTheme="minorHAnsi"/>
          <w:i/>
          <w:sz w:val="20"/>
          <w:szCs w:val="20"/>
        </w:rPr>
        <w:t xml:space="preserve"> les marchés dont la consultation a été lancée avant le 1</w:t>
      </w:r>
      <w:r w:rsidRPr="004F3CF7">
        <w:rPr>
          <w:rFonts w:asciiTheme="minorHAnsi" w:hAnsiTheme="minorHAnsi"/>
          <w:i/>
          <w:sz w:val="20"/>
          <w:szCs w:val="20"/>
          <w:vertAlign w:val="superscript"/>
        </w:rPr>
        <w:t>er</w:t>
      </w:r>
      <w:r w:rsidRPr="004F3CF7">
        <w:rPr>
          <w:rFonts w:asciiTheme="minorHAnsi" w:hAnsiTheme="minorHAnsi"/>
          <w:i/>
          <w:sz w:val="20"/>
          <w:szCs w:val="20"/>
        </w:rPr>
        <w:t xml:space="preserve"> avril, et ceux en cours d’exécution ne sont donc pas concernés par ces nouvelles dispositions.</w:t>
      </w:r>
      <w:r w:rsidRPr="004F3CF7">
        <w:rPr>
          <w:rFonts w:asciiTheme="minorHAnsi" w:hAnsiTheme="minorHAnsi"/>
          <w:sz w:val="20"/>
          <w:szCs w:val="20"/>
        </w:rPr>
        <w:t xml:space="preserve">  </w:t>
      </w:r>
      <w:r w:rsidRPr="004F3CF7">
        <w:rPr>
          <w:rFonts w:asciiTheme="minorHAnsi" w:hAnsiTheme="minorHAnsi"/>
          <w:i/>
          <w:sz w:val="20"/>
          <w:szCs w:val="20"/>
        </w:rPr>
        <w:t>En effet, pour tous les marchés dont la consultation a été lancée avant le 1</w:t>
      </w:r>
      <w:r w:rsidRPr="004F3CF7">
        <w:rPr>
          <w:rFonts w:asciiTheme="minorHAnsi" w:hAnsiTheme="minorHAnsi"/>
          <w:i/>
          <w:sz w:val="20"/>
          <w:szCs w:val="20"/>
          <w:vertAlign w:val="superscript"/>
        </w:rPr>
        <w:t>er</w:t>
      </w:r>
      <w:r w:rsidRPr="004F3CF7">
        <w:rPr>
          <w:rFonts w:asciiTheme="minorHAnsi" w:hAnsiTheme="minorHAnsi"/>
          <w:i/>
          <w:sz w:val="20"/>
          <w:szCs w:val="20"/>
        </w:rPr>
        <w:t xml:space="preserve"> avril 2016 il convient de se référer aux textes précédents la nouvelle réglementation en vigueur</w:t>
      </w:r>
      <w:r>
        <w:rPr>
          <w:rFonts w:asciiTheme="minorHAnsi" w:hAnsiTheme="minorHAnsi"/>
          <w:i/>
          <w:sz w:val="20"/>
          <w:szCs w:val="20"/>
        </w:rPr>
        <w:t>.</w:t>
      </w:r>
    </w:p>
    <w:p w:rsidR="00C2468D" w:rsidRPr="005B3897" w:rsidRDefault="00C2468D" w:rsidP="00CC62FF">
      <w:pPr>
        <w:rPr>
          <w:rFonts w:asciiTheme="minorHAnsi" w:hAnsiTheme="minorHAnsi" w:cstheme="minorHAnsi"/>
          <w:szCs w:val="16"/>
        </w:rPr>
      </w:pPr>
    </w:p>
    <w:p w:rsidR="00CC62FF" w:rsidRPr="005B3897" w:rsidRDefault="00075D3A" w:rsidP="00075D3A">
      <w:pPr>
        <w:shd w:val="clear" w:color="auto" w:fill="DAEEF3" w:themeFill="accent5" w:themeFillTint="33"/>
        <w:rPr>
          <w:rFonts w:asciiTheme="minorHAnsi" w:hAnsiTheme="minorHAnsi" w:cstheme="minorHAnsi"/>
          <w:b/>
          <w:smallCaps/>
          <w:sz w:val="24"/>
          <w:szCs w:val="16"/>
        </w:rPr>
      </w:pPr>
      <w:r w:rsidRPr="005B3897">
        <w:rPr>
          <w:rFonts w:asciiTheme="minorHAnsi" w:hAnsiTheme="minorHAnsi" w:cstheme="minorHAnsi"/>
          <w:b/>
          <w:smallCaps/>
          <w:sz w:val="24"/>
          <w:szCs w:val="16"/>
        </w:rPr>
        <w:t>I - IDENTIFICATION DES REGLES APPLICABLES DANS LA MISE EN ŒUVRE DE L’OPERATION</w:t>
      </w:r>
    </w:p>
    <w:p w:rsidR="00075D3A" w:rsidRPr="005B3897" w:rsidRDefault="00075D3A" w:rsidP="007D769C">
      <w:pPr>
        <w:rPr>
          <w:rFonts w:asciiTheme="minorHAnsi" w:hAnsiTheme="minorHAnsi" w:cstheme="minorHAnsi"/>
          <w:szCs w:val="16"/>
          <w:u w:val="single"/>
        </w:rPr>
      </w:pPr>
    </w:p>
    <w:p w:rsidR="00075D3A" w:rsidRPr="005B3897" w:rsidRDefault="00075D3A" w:rsidP="00075D3A">
      <w:pPr>
        <w:numPr>
          <w:ilvl w:val="0"/>
          <w:numId w:val="19"/>
        </w:numPr>
        <w:tabs>
          <w:tab w:val="left" w:pos="426"/>
        </w:tabs>
        <w:ind w:left="0" w:firstLine="0"/>
        <w:jc w:val="both"/>
        <w:rPr>
          <w:rFonts w:asciiTheme="minorHAnsi" w:hAnsiTheme="minorHAnsi" w:cs="Calibri"/>
          <w:b/>
          <w:iCs/>
          <w:sz w:val="22"/>
          <w:szCs w:val="16"/>
          <w:u w:val="single"/>
        </w:rPr>
      </w:pPr>
      <w:r w:rsidRPr="005B3897">
        <w:rPr>
          <w:rFonts w:asciiTheme="minorHAnsi" w:hAnsiTheme="minorHAnsi" w:cs="Calibri"/>
          <w:b/>
          <w:iCs/>
          <w:sz w:val="22"/>
          <w:szCs w:val="16"/>
          <w:u w:val="single"/>
        </w:rPr>
        <w:t xml:space="preserve">Type de personne </w:t>
      </w:r>
      <w:proofErr w:type="gramStart"/>
      <w:r w:rsidRPr="005B3897">
        <w:rPr>
          <w:rFonts w:asciiTheme="minorHAnsi" w:hAnsiTheme="minorHAnsi" w:cs="Calibri"/>
          <w:b/>
          <w:iCs/>
          <w:sz w:val="22"/>
          <w:szCs w:val="16"/>
          <w:u w:val="single"/>
        </w:rPr>
        <w:t>morale</w:t>
      </w:r>
      <w:proofErr w:type="gramEnd"/>
      <w:r w:rsidRPr="005B3897">
        <w:rPr>
          <w:rFonts w:asciiTheme="minorHAnsi" w:hAnsiTheme="minorHAnsi" w:cs="Calibri"/>
          <w:b/>
          <w:iCs/>
          <w:sz w:val="22"/>
          <w:szCs w:val="16"/>
          <w:u w:val="single"/>
        </w:rPr>
        <w:t xml:space="preserve"> du bénéficiaire</w:t>
      </w:r>
    </w:p>
    <w:p w:rsidR="007D769C" w:rsidRPr="005B3897" w:rsidRDefault="00075D3A" w:rsidP="007D769C">
      <w:pPr>
        <w:rPr>
          <w:rFonts w:asciiTheme="minorHAnsi" w:hAnsiTheme="minorHAnsi" w:cstheme="minorHAnsi"/>
          <w:szCs w:val="16"/>
        </w:rPr>
      </w:pPr>
      <w:r w:rsidRPr="005B3897">
        <w:rPr>
          <w:rFonts w:asciiTheme="minorHAnsi" w:hAnsiTheme="minorHAnsi" w:cstheme="minorHAnsi"/>
          <w:szCs w:val="16"/>
        </w:rPr>
        <w:t xml:space="preserve">Personne morale de droit public : </w:t>
      </w:r>
      <w:r w:rsidR="002E03F7" w:rsidRPr="005B3897">
        <w:rPr>
          <w:rFonts w:asciiTheme="minorHAnsi" w:hAnsiTheme="minorHAnsi" w:cstheme="minorHAnsi"/>
          <w:szCs w:val="16"/>
        </w:rPr>
        <w:t>Etat, collectivités territoriales, établissements publics, certains GIP…</w:t>
      </w:r>
    </w:p>
    <w:p w:rsidR="002E03F7" w:rsidRPr="005B3897" w:rsidRDefault="002E03F7" w:rsidP="007D769C">
      <w:pPr>
        <w:rPr>
          <w:rFonts w:asciiTheme="minorHAnsi" w:hAnsiTheme="minorHAnsi" w:cstheme="minorHAnsi"/>
          <w:szCs w:val="16"/>
        </w:rPr>
      </w:pPr>
      <w:r w:rsidRPr="005B3897">
        <w:rPr>
          <w:rFonts w:asciiTheme="minorHAnsi" w:hAnsiTheme="minorHAnsi" w:cstheme="minorHAnsi"/>
          <w:szCs w:val="16"/>
        </w:rPr>
        <w:t xml:space="preserve">Personne morale de droit privé : entreprises, association, sociétés civiles, </w:t>
      </w:r>
      <w:r w:rsidR="00A12C4D" w:rsidRPr="005B3897">
        <w:rPr>
          <w:rFonts w:asciiTheme="minorHAnsi" w:hAnsiTheme="minorHAnsi" w:cstheme="minorHAnsi"/>
          <w:szCs w:val="16"/>
        </w:rPr>
        <w:t>GIE…</w:t>
      </w:r>
    </w:p>
    <w:p w:rsidR="004C081B" w:rsidRPr="005B3897" w:rsidRDefault="004C081B" w:rsidP="007D769C">
      <w:pPr>
        <w:rPr>
          <w:rFonts w:asciiTheme="minorHAnsi" w:hAnsiTheme="minorHAnsi" w:cstheme="minorHAnsi"/>
          <w:szCs w:val="16"/>
        </w:rPr>
      </w:pPr>
    </w:p>
    <w:p w:rsidR="00A12C4D" w:rsidRPr="005B3897" w:rsidRDefault="00A12C4D" w:rsidP="00A12C4D">
      <w:pPr>
        <w:numPr>
          <w:ilvl w:val="0"/>
          <w:numId w:val="19"/>
        </w:numPr>
        <w:tabs>
          <w:tab w:val="left" w:pos="426"/>
        </w:tabs>
        <w:ind w:left="0" w:firstLine="0"/>
        <w:jc w:val="both"/>
        <w:rPr>
          <w:rFonts w:asciiTheme="minorHAnsi" w:hAnsiTheme="minorHAnsi" w:cs="Calibri"/>
          <w:b/>
          <w:iCs/>
          <w:sz w:val="22"/>
          <w:szCs w:val="16"/>
          <w:u w:val="single"/>
        </w:rPr>
      </w:pPr>
      <w:r w:rsidRPr="005B3897">
        <w:rPr>
          <w:rFonts w:asciiTheme="minorHAnsi" w:hAnsiTheme="minorHAnsi" w:cs="Calibri"/>
          <w:b/>
          <w:iCs/>
          <w:sz w:val="22"/>
          <w:szCs w:val="16"/>
          <w:u w:val="single"/>
        </w:rPr>
        <w:t>Marchés publics ou autres contrats ?</w:t>
      </w:r>
    </w:p>
    <w:p w:rsidR="004C081B" w:rsidRPr="005B3897" w:rsidRDefault="00A12C4D" w:rsidP="00A12C4D">
      <w:pPr>
        <w:jc w:val="both"/>
        <w:rPr>
          <w:rFonts w:asciiTheme="minorHAnsi" w:hAnsiTheme="minorHAnsi" w:cstheme="minorHAnsi"/>
          <w:szCs w:val="16"/>
        </w:rPr>
      </w:pPr>
      <w:r w:rsidRPr="005B3897">
        <w:rPr>
          <w:rFonts w:asciiTheme="minorHAnsi" w:hAnsiTheme="minorHAnsi" w:cstheme="minorHAnsi"/>
          <w:szCs w:val="16"/>
        </w:rPr>
        <w:t>Il s’agit d’identifier par quel contrat la commande publique a été passée, afin de déterminer la règlementation applicable au contrat.</w:t>
      </w:r>
    </w:p>
    <w:p w:rsidR="00A12C4D" w:rsidRPr="005B3897" w:rsidRDefault="00A12C4D" w:rsidP="00A12C4D">
      <w:pPr>
        <w:jc w:val="both"/>
        <w:rPr>
          <w:rFonts w:asciiTheme="minorHAnsi" w:hAnsiTheme="minorHAnsi" w:cstheme="minorHAnsi"/>
          <w:szCs w:val="16"/>
        </w:rPr>
      </w:pPr>
      <w:r w:rsidRPr="005B3897">
        <w:rPr>
          <w:rFonts w:asciiTheme="minorHAnsi" w:hAnsiTheme="minorHAnsi" w:cstheme="minorHAnsi"/>
          <w:szCs w:val="16"/>
        </w:rPr>
        <w:t xml:space="preserve">Sont exclus les contrats passés par une personne publique dont l’objet n’est pas </w:t>
      </w:r>
      <w:r w:rsidR="002E06B2" w:rsidRPr="005B3897">
        <w:rPr>
          <w:rFonts w:asciiTheme="minorHAnsi" w:hAnsiTheme="minorHAnsi" w:cstheme="minorHAnsi"/>
          <w:szCs w:val="16"/>
        </w:rPr>
        <w:t>une commande en vue de la satisfaction d’un besoin</w:t>
      </w:r>
      <w:r w:rsidRPr="005B3897">
        <w:rPr>
          <w:rFonts w:asciiTheme="minorHAnsi" w:hAnsiTheme="minorHAnsi" w:cstheme="minorHAnsi"/>
          <w:szCs w:val="16"/>
        </w:rPr>
        <w:t xml:space="preserve"> (ex : contrats de travail)</w:t>
      </w:r>
      <w:r w:rsidR="002E06B2" w:rsidRPr="005B3897">
        <w:rPr>
          <w:rFonts w:asciiTheme="minorHAnsi" w:hAnsiTheme="minorHAnsi" w:cstheme="minorHAnsi"/>
          <w:szCs w:val="16"/>
        </w:rPr>
        <w:t>.</w:t>
      </w:r>
    </w:p>
    <w:p w:rsidR="00A12C4D" w:rsidRPr="005B3897" w:rsidRDefault="00A12C4D" w:rsidP="00A12C4D">
      <w:pPr>
        <w:jc w:val="both"/>
        <w:rPr>
          <w:rFonts w:asciiTheme="minorHAnsi" w:hAnsiTheme="minorHAnsi" w:cstheme="minorHAnsi"/>
          <w:szCs w:val="16"/>
        </w:rPr>
      </w:pPr>
    </w:p>
    <w:p w:rsidR="00A12C4D" w:rsidRPr="005B3897" w:rsidRDefault="00A12C4D" w:rsidP="00A12C4D">
      <w:pPr>
        <w:jc w:val="both"/>
        <w:rPr>
          <w:rFonts w:asciiTheme="minorHAnsi" w:hAnsiTheme="minorHAnsi" w:cstheme="minorHAnsi"/>
          <w:szCs w:val="16"/>
        </w:rPr>
      </w:pPr>
      <w:r w:rsidRPr="005B3897">
        <w:rPr>
          <w:rFonts w:asciiTheme="minorHAnsi" w:hAnsiTheme="minorHAnsi" w:cstheme="minorHAnsi"/>
          <w:szCs w:val="16"/>
        </w:rPr>
        <w:t>L’association des points 2.1 et 2.2 permettent de déterminer si le ou les contrats passés pour la réalisation de l’opération sont des marchés publics.</w:t>
      </w:r>
    </w:p>
    <w:p w:rsidR="00A12C4D" w:rsidRPr="005B3897" w:rsidRDefault="00A12C4D" w:rsidP="00A12C4D">
      <w:pPr>
        <w:jc w:val="both"/>
        <w:rPr>
          <w:rFonts w:asciiTheme="minorHAnsi" w:hAnsiTheme="minorHAnsi" w:cstheme="minorHAnsi"/>
          <w:szCs w:val="16"/>
        </w:rPr>
      </w:pPr>
      <w:r w:rsidRPr="005B3897">
        <w:rPr>
          <w:rFonts w:asciiTheme="minorHAnsi" w:hAnsiTheme="minorHAnsi" w:cstheme="minorHAnsi"/>
          <w:szCs w:val="16"/>
        </w:rPr>
        <w:t>Le point 2.3 a pour objet de vérifier, si, lorsque le ou les contrats ne sont pas des marchés publics, ce ou ces contrats relèvent d’un autre type de contrat de commande publique.</w:t>
      </w:r>
    </w:p>
    <w:p w:rsidR="00A12C4D" w:rsidRPr="005B3897" w:rsidRDefault="00A12C4D" w:rsidP="00A12C4D">
      <w:pPr>
        <w:jc w:val="both"/>
        <w:rPr>
          <w:rFonts w:asciiTheme="minorHAnsi" w:hAnsiTheme="minorHAnsi" w:cstheme="minorHAnsi"/>
          <w:szCs w:val="16"/>
        </w:rPr>
      </w:pPr>
    </w:p>
    <w:p w:rsidR="00A12C4D" w:rsidRPr="005B3897" w:rsidRDefault="005E3876" w:rsidP="00A12C4D">
      <w:pPr>
        <w:jc w:val="both"/>
        <w:rPr>
          <w:rFonts w:asciiTheme="minorHAnsi" w:hAnsiTheme="minorHAnsi" w:cstheme="minorHAnsi"/>
          <w:b/>
          <w:i/>
          <w:sz w:val="22"/>
          <w:szCs w:val="22"/>
          <w:u w:val="single"/>
        </w:rPr>
      </w:pPr>
      <w:r w:rsidRPr="005B3897">
        <w:rPr>
          <w:rFonts w:asciiTheme="minorHAnsi" w:hAnsiTheme="minorHAnsi" w:cstheme="minorHAnsi"/>
          <w:b/>
          <w:i/>
          <w:sz w:val="22"/>
          <w:szCs w:val="22"/>
          <w:u w:val="single"/>
        </w:rPr>
        <w:t xml:space="preserve">Marchés publics : </w:t>
      </w:r>
    </w:p>
    <w:p w:rsidR="005E3876" w:rsidRPr="005B3897" w:rsidRDefault="005E3876" w:rsidP="004F3CF7">
      <w:pPr>
        <w:jc w:val="both"/>
        <w:rPr>
          <w:rFonts w:asciiTheme="minorHAnsi" w:hAnsiTheme="minorHAnsi" w:cstheme="minorHAnsi"/>
          <w:szCs w:val="16"/>
        </w:rPr>
      </w:pPr>
      <w:r w:rsidRPr="005B3897">
        <w:rPr>
          <w:rFonts w:asciiTheme="minorHAnsi" w:hAnsiTheme="minorHAnsi" w:cstheme="minorHAnsi"/>
          <w:b/>
          <w:i/>
          <w:szCs w:val="16"/>
        </w:rPr>
        <w:t>2.1</w:t>
      </w:r>
      <w:r w:rsidRPr="005B3897">
        <w:rPr>
          <w:rFonts w:asciiTheme="minorHAnsi" w:hAnsiTheme="minorHAnsi" w:cstheme="minorHAnsi"/>
          <w:szCs w:val="16"/>
        </w:rPr>
        <w:t xml:space="preserve"> </w:t>
      </w:r>
      <w:r w:rsidR="00140F0B" w:rsidRPr="005B3897">
        <w:rPr>
          <w:rFonts w:asciiTheme="minorHAnsi" w:hAnsiTheme="minorHAnsi" w:cstheme="minorHAnsi"/>
          <w:szCs w:val="16"/>
        </w:rPr>
        <w:t xml:space="preserve">Ce point </w:t>
      </w:r>
      <w:r w:rsidRPr="005B3897">
        <w:rPr>
          <w:rFonts w:asciiTheme="minorHAnsi" w:hAnsiTheme="minorHAnsi" w:cstheme="minorHAnsi"/>
          <w:szCs w:val="16"/>
        </w:rPr>
        <w:t>permet de vérifier si le bénéficiaire est un pouvoir adjudicateur</w:t>
      </w:r>
      <w:r w:rsidR="00140F0B" w:rsidRPr="005B3897">
        <w:rPr>
          <w:rFonts w:asciiTheme="minorHAnsi" w:hAnsiTheme="minorHAnsi" w:cstheme="minorHAnsi"/>
          <w:szCs w:val="16"/>
        </w:rPr>
        <w:t xml:space="preserve"> (appelé « entité adjudicatrice » lorsqu’il exerce des activités d’opérateur de réseaux)</w:t>
      </w:r>
      <w:r w:rsidRPr="005B3897">
        <w:rPr>
          <w:rFonts w:asciiTheme="minorHAnsi" w:hAnsiTheme="minorHAnsi" w:cstheme="minorHAnsi"/>
          <w:szCs w:val="16"/>
        </w:rPr>
        <w:t xml:space="preserve">, c’est-à-dire que les marchés qu’il </w:t>
      </w:r>
      <w:r w:rsidR="00140F0B" w:rsidRPr="005B3897">
        <w:rPr>
          <w:rFonts w:asciiTheme="minorHAnsi" w:hAnsiTheme="minorHAnsi" w:cstheme="minorHAnsi"/>
          <w:szCs w:val="16"/>
        </w:rPr>
        <w:t xml:space="preserve">passe sont des marchés publics. </w:t>
      </w:r>
      <w:r w:rsidRPr="005B3897">
        <w:rPr>
          <w:rFonts w:asciiTheme="minorHAnsi" w:hAnsiTheme="minorHAnsi" w:cstheme="minorHAnsi"/>
          <w:szCs w:val="16"/>
        </w:rPr>
        <w:t xml:space="preserve">Ainsi, </w:t>
      </w:r>
      <w:r w:rsidR="004F3CF7">
        <w:rPr>
          <w:rFonts w:asciiTheme="minorHAnsi" w:hAnsiTheme="minorHAnsi" w:cstheme="minorHAnsi"/>
          <w:szCs w:val="16"/>
        </w:rPr>
        <w:t>depuis le 1</w:t>
      </w:r>
      <w:r w:rsidR="004F3CF7" w:rsidRPr="004F3CF7">
        <w:rPr>
          <w:rFonts w:asciiTheme="minorHAnsi" w:hAnsiTheme="minorHAnsi" w:cstheme="minorHAnsi"/>
          <w:szCs w:val="16"/>
          <w:vertAlign w:val="superscript"/>
        </w:rPr>
        <w:t>er</w:t>
      </w:r>
      <w:r w:rsidR="004F3CF7">
        <w:rPr>
          <w:rFonts w:asciiTheme="minorHAnsi" w:hAnsiTheme="minorHAnsi" w:cstheme="minorHAnsi"/>
          <w:szCs w:val="16"/>
        </w:rPr>
        <w:t xml:space="preserve"> avril 2016, </w:t>
      </w:r>
      <w:r w:rsidR="00A07151">
        <w:rPr>
          <w:rFonts w:asciiTheme="minorHAnsi" w:hAnsiTheme="minorHAnsi" w:cstheme="minorHAnsi"/>
          <w:szCs w:val="16"/>
        </w:rPr>
        <w:t>l’ensemble des acheteurs</w:t>
      </w:r>
      <w:r w:rsidR="004F3CF7">
        <w:rPr>
          <w:rFonts w:asciiTheme="minorHAnsi" w:hAnsiTheme="minorHAnsi" w:cstheme="minorHAnsi"/>
          <w:szCs w:val="16"/>
        </w:rPr>
        <w:t>,</w:t>
      </w:r>
      <w:r w:rsidR="00A07151">
        <w:rPr>
          <w:rFonts w:asciiTheme="minorHAnsi" w:hAnsiTheme="minorHAnsi" w:cstheme="minorHAnsi"/>
          <w:szCs w:val="16"/>
        </w:rPr>
        <w:t xml:space="preserve"> qu’ils soient privés ou publics</w:t>
      </w:r>
      <w:r w:rsidR="004F3CF7">
        <w:rPr>
          <w:rFonts w:asciiTheme="minorHAnsi" w:hAnsiTheme="minorHAnsi" w:cstheme="minorHAnsi"/>
          <w:szCs w:val="16"/>
        </w:rPr>
        <w:t>,</w:t>
      </w:r>
      <w:r w:rsidR="00A07151">
        <w:rPr>
          <w:rFonts w:asciiTheme="minorHAnsi" w:hAnsiTheme="minorHAnsi" w:cstheme="minorHAnsi"/>
          <w:szCs w:val="16"/>
        </w:rPr>
        <w:t xml:space="preserve"> répondant à la définition</w:t>
      </w:r>
      <w:r w:rsidR="004F3CF7">
        <w:rPr>
          <w:rFonts w:asciiTheme="minorHAnsi" w:hAnsiTheme="minorHAnsi" w:cstheme="minorHAnsi"/>
          <w:szCs w:val="16"/>
        </w:rPr>
        <w:t xml:space="preserve"> de pouvoirs adjudicateurs ou d’entités adjudicatrices sont soumis à </w:t>
      </w:r>
      <w:r w:rsidR="004F3CF7" w:rsidRPr="004F3CF7">
        <w:rPr>
          <w:rFonts w:asciiTheme="minorHAnsi" w:hAnsiTheme="minorHAnsi" w:cstheme="minorHAnsi"/>
          <w:b/>
          <w:szCs w:val="16"/>
        </w:rPr>
        <w:t>l’ordonnance du 23 juillet 2015</w:t>
      </w:r>
      <w:r w:rsidR="004F3CF7">
        <w:rPr>
          <w:rFonts w:asciiTheme="minorHAnsi" w:hAnsiTheme="minorHAnsi" w:cstheme="minorHAnsi"/>
          <w:szCs w:val="16"/>
        </w:rPr>
        <w:t xml:space="preserve">, </w:t>
      </w:r>
      <w:r w:rsidR="004F3CF7" w:rsidRPr="004F3CF7">
        <w:rPr>
          <w:rFonts w:asciiTheme="minorHAnsi" w:hAnsiTheme="minorHAnsi" w:cstheme="minorHAnsi"/>
          <w:b/>
          <w:szCs w:val="16"/>
        </w:rPr>
        <w:t>article 10 et 11 de l’ordonnance.</w:t>
      </w:r>
      <w:r w:rsidR="004F3CF7">
        <w:rPr>
          <w:rFonts w:asciiTheme="minorHAnsi" w:hAnsiTheme="minorHAnsi" w:cstheme="minorHAnsi"/>
          <w:szCs w:val="16"/>
        </w:rPr>
        <w:t xml:space="preserve"> </w:t>
      </w:r>
      <w:r w:rsidR="00A07151">
        <w:rPr>
          <w:rFonts w:asciiTheme="minorHAnsi" w:hAnsiTheme="minorHAnsi" w:cstheme="minorHAnsi"/>
          <w:szCs w:val="16"/>
        </w:rPr>
        <w:t xml:space="preserve"> </w:t>
      </w:r>
    </w:p>
    <w:p w:rsidR="00140F0B" w:rsidRPr="005B3897" w:rsidRDefault="00140F0B" w:rsidP="005E3876">
      <w:pPr>
        <w:jc w:val="both"/>
        <w:rPr>
          <w:rFonts w:asciiTheme="minorHAnsi" w:hAnsiTheme="minorHAnsi" w:cstheme="minorHAnsi"/>
          <w:szCs w:val="16"/>
        </w:rPr>
      </w:pPr>
    </w:p>
    <w:p w:rsidR="00140F0B" w:rsidRPr="005B3897" w:rsidRDefault="00140F0B" w:rsidP="00140F0B">
      <w:pPr>
        <w:jc w:val="both"/>
        <w:rPr>
          <w:rFonts w:asciiTheme="minorHAnsi" w:hAnsiTheme="minorHAnsi" w:cstheme="minorHAnsi"/>
          <w:szCs w:val="16"/>
        </w:rPr>
      </w:pPr>
      <w:r w:rsidRPr="005B3897">
        <w:rPr>
          <w:rFonts w:asciiTheme="minorHAnsi" w:hAnsiTheme="minorHAnsi" w:cstheme="minorHAnsi"/>
          <w:b/>
          <w:i/>
          <w:szCs w:val="16"/>
        </w:rPr>
        <w:t>2.2</w:t>
      </w:r>
      <w:r w:rsidRPr="005B3897">
        <w:rPr>
          <w:rFonts w:asciiTheme="minorHAnsi" w:hAnsiTheme="minorHAnsi" w:cstheme="minorHAnsi"/>
          <w:szCs w:val="16"/>
        </w:rPr>
        <w:t xml:space="preserve"> S’il est avéré que le bénéficiaire est un pouvoir adjudicateur (ou une entité adjudicatrice), il convient de s’assurer que le ou les contrats qu’il a passé pour réaliser l’opération sont des marchés publics.</w:t>
      </w:r>
    </w:p>
    <w:p w:rsidR="00140F0B" w:rsidRPr="005B3897" w:rsidRDefault="00140F0B" w:rsidP="00140F0B">
      <w:pPr>
        <w:jc w:val="both"/>
        <w:rPr>
          <w:rFonts w:asciiTheme="minorHAnsi" w:hAnsiTheme="minorHAnsi" w:cstheme="minorHAnsi"/>
          <w:szCs w:val="16"/>
        </w:rPr>
      </w:pPr>
      <w:r w:rsidRPr="005B3897">
        <w:rPr>
          <w:rFonts w:asciiTheme="minorHAnsi" w:hAnsiTheme="minorHAnsi" w:cstheme="minorHAnsi"/>
          <w:szCs w:val="16"/>
        </w:rPr>
        <w:t>Pour cela, il faut se référer :</w:t>
      </w:r>
    </w:p>
    <w:p w:rsidR="00140F0B" w:rsidRPr="005B3897" w:rsidRDefault="00831829" w:rsidP="00140F0B">
      <w:pPr>
        <w:pStyle w:val="Paragraphedeliste"/>
        <w:numPr>
          <w:ilvl w:val="0"/>
          <w:numId w:val="20"/>
        </w:numPr>
        <w:jc w:val="both"/>
        <w:rPr>
          <w:rFonts w:asciiTheme="minorHAnsi" w:hAnsiTheme="minorHAnsi" w:cstheme="minorHAnsi"/>
          <w:szCs w:val="16"/>
        </w:rPr>
      </w:pPr>
      <w:r w:rsidRPr="005B3897">
        <w:rPr>
          <w:rFonts w:asciiTheme="minorHAnsi" w:hAnsiTheme="minorHAnsi" w:cstheme="minorHAnsi"/>
          <w:szCs w:val="16"/>
        </w:rPr>
        <w:t>si</w:t>
      </w:r>
      <w:r w:rsidR="00140F0B" w:rsidRPr="005B3897">
        <w:rPr>
          <w:rFonts w:asciiTheme="minorHAnsi" w:hAnsiTheme="minorHAnsi" w:cstheme="minorHAnsi"/>
          <w:szCs w:val="16"/>
        </w:rPr>
        <w:t xml:space="preserve"> le bénéficiaire est soumis </w:t>
      </w:r>
      <w:r w:rsidR="004F3CF7">
        <w:rPr>
          <w:rFonts w:asciiTheme="minorHAnsi" w:hAnsiTheme="minorHAnsi" w:cstheme="minorHAnsi"/>
          <w:szCs w:val="16"/>
        </w:rPr>
        <w:t xml:space="preserve">à l’ordonnance </w:t>
      </w:r>
    </w:p>
    <w:p w:rsidR="00831829" w:rsidRPr="005B3897" w:rsidRDefault="00831829" w:rsidP="00831829">
      <w:pPr>
        <w:ind w:left="1134"/>
        <w:jc w:val="both"/>
        <w:rPr>
          <w:rFonts w:asciiTheme="minorHAnsi" w:hAnsiTheme="minorHAnsi" w:cstheme="minorHAnsi"/>
          <w:b/>
          <w:szCs w:val="16"/>
        </w:rPr>
      </w:pPr>
      <w:r w:rsidRPr="005B3897">
        <w:rPr>
          <w:rFonts w:asciiTheme="minorHAnsi" w:hAnsiTheme="minorHAnsi" w:cstheme="minorHAnsi"/>
          <w:b/>
          <w:szCs w:val="16"/>
        </w:rPr>
        <w:sym w:font="Wingdings" w:char="F0E8"/>
      </w:r>
      <w:r w:rsidR="004F3CF7">
        <w:rPr>
          <w:rFonts w:asciiTheme="minorHAnsi" w:hAnsiTheme="minorHAnsi" w:cstheme="minorHAnsi"/>
          <w:b/>
          <w:szCs w:val="16"/>
        </w:rPr>
        <w:t xml:space="preserve"> Article 4, 5 et 6</w:t>
      </w:r>
      <w:r w:rsidRPr="005B3897">
        <w:rPr>
          <w:rFonts w:asciiTheme="minorHAnsi" w:hAnsiTheme="minorHAnsi" w:cstheme="minorHAnsi"/>
          <w:b/>
          <w:szCs w:val="16"/>
        </w:rPr>
        <w:t xml:space="preserve"> (définition des marchés publics)</w:t>
      </w:r>
    </w:p>
    <w:p w:rsidR="00831829" w:rsidRPr="005B3897" w:rsidRDefault="00831829" w:rsidP="00831829">
      <w:pPr>
        <w:ind w:left="1134"/>
        <w:jc w:val="both"/>
        <w:rPr>
          <w:rFonts w:asciiTheme="minorHAnsi" w:hAnsiTheme="minorHAnsi" w:cstheme="minorHAnsi"/>
          <w:b/>
          <w:szCs w:val="16"/>
        </w:rPr>
      </w:pPr>
      <w:r w:rsidRPr="005B3897">
        <w:rPr>
          <w:rFonts w:asciiTheme="minorHAnsi" w:hAnsiTheme="minorHAnsi" w:cstheme="minorHAnsi"/>
          <w:b/>
          <w:szCs w:val="16"/>
        </w:rPr>
        <w:sym w:font="Wingdings" w:char="F0E8"/>
      </w:r>
      <w:r w:rsidR="004F3CF7">
        <w:rPr>
          <w:rFonts w:asciiTheme="minorHAnsi" w:hAnsiTheme="minorHAnsi" w:cstheme="minorHAnsi"/>
          <w:b/>
          <w:szCs w:val="16"/>
        </w:rPr>
        <w:t xml:space="preserve"> Article 7</w:t>
      </w:r>
      <w:r w:rsidRPr="005B3897">
        <w:rPr>
          <w:rFonts w:asciiTheme="minorHAnsi" w:hAnsiTheme="minorHAnsi" w:cstheme="minorHAnsi"/>
          <w:b/>
          <w:szCs w:val="16"/>
        </w:rPr>
        <w:t xml:space="preserve"> (marchés exclus)</w:t>
      </w:r>
    </w:p>
    <w:p w:rsidR="00A12C4D" w:rsidRPr="005B3897" w:rsidRDefault="00A12C4D" w:rsidP="00CC62FF">
      <w:pPr>
        <w:rPr>
          <w:rFonts w:asciiTheme="minorHAnsi" w:hAnsiTheme="minorHAnsi" w:cstheme="minorHAnsi"/>
          <w:szCs w:val="16"/>
        </w:rPr>
      </w:pPr>
    </w:p>
    <w:p w:rsidR="00AD6E5D" w:rsidRPr="005B3897" w:rsidRDefault="00AD6E5D" w:rsidP="00AD6E5D">
      <w:pPr>
        <w:jc w:val="both"/>
        <w:rPr>
          <w:rFonts w:asciiTheme="minorHAnsi" w:hAnsiTheme="minorHAnsi" w:cstheme="minorHAnsi"/>
          <w:szCs w:val="16"/>
        </w:rPr>
      </w:pPr>
      <w:r w:rsidRPr="005B3897">
        <w:rPr>
          <w:rFonts w:asciiTheme="minorHAnsi" w:hAnsiTheme="minorHAnsi" w:cstheme="minorHAnsi"/>
          <w:noProof/>
          <w:szCs w:val="16"/>
        </w:rPr>
        <w:drawing>
          <wp:inline distT="0" distB="0" distL="0" distR="0" wp14:anchorId="4A51F529" wp14:editId="45370A86">
            <wp:extent cx="202019" cy="202019"/>
            <wp:effectExtent l="0" t="0" r="7620" b="7620"/>
            <wp:docPr id="2" name="Image 2" descr="C:\Users\sdiscors\Pictures\pictograms-aem-0058-general-warning-haza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iscors\Pictures\pictograms-aem-0058-general-warning-hazard[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027" cy="202027"/>
                    </a:xfrm>
                    <a:prstGeom prst="rect">
                      <a:avLst/>
                    </a:prstGeom>
                    <a:noFill/>
                    <a:ln>
                      <a:noFill/>
                    </a:ln>
                  </pic:spPr>
                </pic:pic>
              </a:graphicData>
            </a:graphic>
          </wp:inline>
        </w:drawing>
      </w:r>
      <w:r w:rsidRPr="005B3897">
        <w:rPr>
          <w:rFonts w:asciiTheme="minorHAnsi" w:hAnsiTheme="minorHAnsi" w:cstheme="minorHAnsi"/>
          <w:szCs w:val="16"/>
        </w:rPr>
        <w:t xml:space="preserve"> </w:t>
      </w:r>
      <w:r w:rsidR="00AA4893" w:rsidRPr="005B3897">
        <w:rPr>
          <w:rFonts w:asciiTheme="minorHAnsi" w:hAnsiTheme="minorHAnsi" w:cstheme="minorHAnsi"/>
          <w:szCs w:val="16"/>
          <w:u w:val="single"/>
        </w:rPr>
        <w:t>Cas des mandats</w:t>
      </w:r>
      <w:r w:rsidR="00AA4893" w:rsidRPr="005B3897">
        <w:rPr>
          <w:rFonts w:asciiTheme="minorHAnsi" w:hAnsiTheme="minorHAnsi" w:cstheme="minorHAnsi"/>
          <w:szCs w:val="16"/>
        </w:rPr>
        <w:t> :</w:t>
      </w:r>
      <w:r w:rsidR="00AA4893" w:rsidRPr="005B3897">
        <w:rPr>
          <w:rFonts w:ascii="Arial" w:hAnsi="Arial" w:cs="Arial"/>
        </w:rPr>
        <w:t xml:space="preserve"> </w:t>
      </w:r>
      <w:r w:rsidRPr="005B3897">
        <w:rPr>
          <w:rFonts w:asciiTheme="minorHAnsi" w:hAnsiTheme="minorHAnsi" w:cstheme="minorHAnsi"/>
          <w:szCs w:val="16"/>
        </w:rPr>
        <w:t xml:space="preserve">Lorsqu’une personne privée agit comme mandataire d’une personne publique soumise </w:t>
      </w:r>
      <w:r w:rsidR="004F3CF7">
        <w:rPr>
          <w:rFonts w:asciiTheme="minorHAnsi" w:hAnsiTheme="minorHAnsi" w:cstheme="minorHAnsi"/>
          <w:szCs w:val="16"/>
        </w:rPr>
        <w:t>à l’ordonnance et à ses décrets d’application</w:t>
      </w:r>
      <w:r w:rsidRPr="005B3897">
        <w:rPr>
          <w:rFonts w:asciiTheme="minorHAnsi" w:hAnsiTheme="minorHAnsi" w:cstheme="minorHAnsi"/>
          <w:szCs w:val="16"/>
        </w:rPr>
        <w:t xml:space="preserve">, elle doit, pour les marchés passés en exécution de ce mandat, respecter </w:t>
      </w:r>
      <w:r w:rsidR="004F3CF7">
        <w:rPr>
          <w:rFonts w:asciiTheme="minorHAnsi" w:hAnsiTheme="minorHAnsi" w:cstheme="minorHAnsi"/>
          <w:szCs w:val="16"/>
        </w:rPr>
        <w:t>l’ordonnance et ses décrets d’application</w:t>
      </w:r>
      <w:r w:rsidRPr="005B3897">
        <w:rPr>
          <w:rFonts w:asciiTheme="minorHAnsi" w:hAnsiTheme="minorHAnsi" w:cstheme="minorHAnsi"/>
          <w:szCs w:val="16"/>
        </w:rPr>
        <w:t xml:space="preserve"> (les conventions de mandat étant des marchés publics).</w:t>
      </w:r>
    </w:p>
    <w:p w:rsidR="00AD6E5D" w:rsidRPr="005B3897" w:rsidRDefault="00AD6E5D" w:rsidP="00CC62FF">
      <w:pPr>
        <w:rPr>
          <w:rFonts w:asciiTheme="minorHAnsi" w:hAnsiTheme="minorHAnsi" w:cstheme="minorHAnsi"/>
          <w:szCs w:val="16"/>
        </w:rPr>
      </w:pPr>
    </w:p>
    <w:p w:rsidR="003D0A62" w:rsidRPr="005B3897" w:rsidRDefault="003D0A62" w:rsidP="003D0A62">
      <w:pPr>
        <w:jc w:val="both"/>
        <w:rPr>
          <w:rFonts w:asciiTheme="minorHAnsi" w:hAnsiTheme="minorHAnsi" w:cstheme="minorHAnsi"/>
          <w:szCs w:val="16"/>
        </w:rPr>
      </w:pPr>
      <w:r w:rsidRPr="005B3897">
        <w:rPr>
          <w:rFonts w:ascii="Arial" w:hAnsi="Arial" w:cs="Arial"/>
          <w:noProof/>
        </w:rPr>
        <w:drawing>
          <wp:inline distT="0" distB="0" distL="0" distR="0" wp14:anchorId="6B9B8E58" wp14:editId="49B0B3BD">
            <wp:extent cx="201930" cy="201930"/>
            <wp:effectExtent l="0" t="0" r="7620" b="7620"/>
            <wp:docPr id="3" name="Image 3" descr="C:\Users\sdiscors\Pictures\pictograms-aem-0058-general-warning-haza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discors\Pictures\pictograms-aem-0058-general-warning-hazard[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B3897">
        <w:rPr>
          <w:rFonts w:ascii="Arial" w:hAnsi="Arial" w:cs="Arial"/>
          <w:noProof/>
        </w:rPr>
        <w:t xml:space="preserve"> </w:t>
      </w:r>
      <w:r w:rsidRPr="005B3897">
        <w:rPr>
          <w:rFonts w:asciiTheme="minorHAnsi" w:hAnsiTheme="minorHAnsi" w:cstheme="minorHAnsi"/>
          <w:szCs w:val="16"/>
          <w:u w:val="single"/>
        </w:rPr>
        <w:t>Cas des associations transparentes</w:t>
      </w:r>
      <w:r w:rsidRPr="005B3897">
        <w:rPr>
          <w:rFonts w:asciiTheme="minorHAnsi" w:hAnsiTheme="minorHAnsi" w:cstheme="minorHAnsi"/>
          <w:szCs w:val="16"/>
        </w:rPr>
        <w:t> : une association transparente est un</w:t>
      </w:r>
      <w:r w:rsidR="004F3CF7">
        <w:rPr>
          <w:rFonts w:asciiTheme="minorHAnsi" w:hAnsiTheme="minorHAnsi" w:cstheme="minorHAnsi"/>
          <w:szCs w:val="16"/>
        </w:rPr>
        <w:t>e</w:t>
      </w:r>
      <w:r w:rsidRPr="005B3897">
        <w:rPr>
          <w:rFonts w:asciiTheme="minorHAnsi" w:hAnsiTheme="minorHAnsi" w:cstheme="minorHAnsi"/>
          <w:szCs w:val="16"/>
        </w:rPr>
        <w:t xml:space="preserve"> association créée à l’initiative d’une personne publique dont elle est juridiquement indépendante (personnalité morale indépendante), mais qui, en fait, n’a pas de réelle autonomie. Elle est un démembrement de la personne publique qui en contrôle </w:t>
      </w:r>
      <w:r w:rsidRPr="005B3897">
        <w:rPr>
          <w:rFonts w:asciiTheme="minorHAnsi" w:hAnsiTheme="minorHAnsi" w:cstheme="minorHAnsi"/>
          <w:szCs w:val="16"/>
        </w:rPr>
        <w:lastRenderedPageBreak/>
        <w:t xml:space="preserve">l’organisation et le fonctionnement et qui lui procure l’essentiel de ses ressources (cf. </w:t>
      </w:r>
      <w:hyperlink r:id="rId23" w:history="1">
        <w:r w:rsidRPr="005B3897">
          <w:rPr>
            <w:rStyle w:val="Lienhypertexte"/>
            <w:rFonts w:asciiTheme="minorHAnsi" w:hAnsiTheme="minorHAnsi"/>
            <w:color w:val="auto"/>
            <w:sz w:val="22"/>
            <w:szCs w:val="22"/>
          </w:rPr>
          <w:t>CE, 21 mars 2007, Commune de Boulogne-Billancourt, n° 281796</w:t>
        </w:r>
      </w:hyperlink>
      <w:r w:rsidRPr="005B3897">
        <w:rPr>
          <w:rFonts w:asciiTheme="minorHAnsi" w:hAnsiTheme="minorHAnsi" w:cstheme="minorHAnsi"/>
          <w:szCs w:val="16"/>
        </w:rPr>
        <w:t>).</w:t>
      </w:r>
    </w:p>
    <w:p w:rsidR="003D0A62" w:rsidRPr="005B3897" w:rsidRDefault="003D0A62" w:rsidP="007C63F0">
      <w:pPr>
        <w:jc w:val="both"/>
        <w:rPr>
          <w:rFonts w:asciiTheme="minorHAnsi" w:hAnsiTheme="minorHAnsi" w:cstheme="minorHAnsi"/>
          <w:szCs w:val="16"/>
        </w:rPr>
      </w:pPr>
      <w:r w:rsidRPr="005B3897">
        <w:rPr>
          <w:rFonts w:asciiTheme="minorHAnsi" w:hAnsiTheme="minorHAnsi" w:cstheme="minorHAnsi"/>
          <w:szCs w:val="16"/>
        </w:rPr>
        <w:t xml:space="preserve">Dans ce cas, l’association doit respecter les mêmes règles que la personne publique, notamment </w:t>
      </w:r>
      <w:r w:rsidR="004F3CF7">
        <w:rPr>
          <w:rFonts w:asciiTheme="minorHAnsi" w:hAnsiTheme="minorHAnsi" w:cstheme="minorHAnsi"/>
          <w:szCs w:val="16"/>
        </w:rPr>
        <w:t>l’ordonnance des marchés publics</w:t>
      </w:r>
      <w:r w:rsidRPr="005B3897">
        <w:rPr>
          <w:rFonts w:asciiTheme="minorHAnsi" w:hAnsiTheme="minorHAnsi" w:cstheme="minorHAnsi"/>
          <w:szCs w:val="16"/>
        </w:rPr>
        <w:t xml:space="preserve">. </w:t>
      </w:r>
    </w:p>
    <w:p w:rsidR="00203E4F" w:rsidRPr="005B3897" w:rsidRDefault="00203E4F" w:rsidP="00CC62FF">
      <w:pPr>
        <w:rPr>
          <w:rFonts w:asciiTheme="minorHAnsi" w:hAnsiTheme="minorHAnsi" w:cstheme="minorHAnsi"/>
          <w:szCs w:val="16"/>
        </w:rPr>
      </w:pPr>
    </w:p>
    <w:p w:rsidR="007A794C" w:rsidRPr="005B3897" w:rsidRDefault="007A794C" w:rsidP="007A794C">
      <w:pPr>
        <w:rPr>
          <w:rFonts w:asciiTheme="minorHAnsi" w:hAnsiTheme="minorHAnsi" w:cstheme="minorHAnsi"/>
          <w:b/>
          <w:szCs w:val="16"/>
        </w:rPr>
      </w:pPr>
      <w:r w:rsidRPr="005B3897">
        <w:rPr>
          <w:rFonts w:asciiTheme="minorHAnsi" w:hAnsiTheme="minorHAnsi" w:cstheme="minorHAnsi"/>
          <w:b/>
          <w:szCs w:val="16"/>
        </w:rPr>
        <w:sym w:font="Wingdings" w:char="F046"/>
      </w:r>
      <w:r w:rsidRPr="005B3897">
        <w:rPr>
          <w:rFonts w:asciiTheme="minorHAnsi" w:hAnsiTheme="minorHAnsi" w:cstheme="minorHAnsi"/>
          <w:b/>
          <w:szCs w:val="16"/>
        </w:rPr>
        <w:t xml:space="preserve"> Textes supplémentaires applicables marchés publics de travaux</w:t>
      </w:r>
    </w:p>
    <w:p w:rsidR="007A794C" w:rsidRPr="005B3897" w:rsidRDefault="007A794C" w:rsidP="007A794C">
      <w:pPr>
        <w:pStyle w:val="Paragraphedeliste"/>
        <w:numPr>
          <w:ilvl w:val="0"/>
          <w:numId w:val="22"/>
        </w:numPr>
        <w:rPr>
          <w:rFonts w:asciiTheme="minorHAnsi" w:hAnsiTheme="minorHAnsi" w:cstheme="minorHAnsi"/>
          <w:b/>
          <w:szCs w:val="16"/>
        </w:rPr>
      </w:pPr>
      <w:r w:rsidRPr="005B3897">
        <w:rPr>
          <w:rFonts w:asciiTheme="minorHAnsi" w:hAnsiTheme="minorHAnsi" w:cstheme="minorHAnsi"/>
          <w:b/>
          <w:szCs w:val="16"/>
        </w:rPr>
        <w:t>Construction de bâtiments, d’infrastructures et d’équipements industriels</w:t>
      </w:r>
    </w:p>
    <w:p w:rsidR="007A794C" w:rsidRPr="005B3897" w:rsidRDefault="007A794C" w:rsidP="008D5073">
      <w:pPr>
        <w:jc w:val="both"/>
        <w:rPr>
          <w:rFonts w:asciiTheme="minorHAnsi" w:hAnsiTheme="minorHAnsi" w:cstheme="minorHAnsi"/>
          <w:szCs w:val="16"/>
        </w:rPr>
      </w:pPr>
      <w:r w:rsidRPr="005B3897">
        <w:rPr>
          <w:rFonts w:asciiTheme="minorHAnsi" w:hAnsiTheme="minorHAnsi" w:cstheme="minorHAnsi"/>
          <w:szCs w:val="16"/>
        </w:rPr>
        <w:t>Loi n° 85-704 du 12 juillet 1985 relative à la maîtrise d'ouvrage publique et à ses rapports avec la maîtrise d'œuvre privée</w:t>
      </w:r>
      <w:r w:rsidR="00CF5D63" w:rsidRPr="005B3897">
        <w:rPr>
          <w:rFonts w:asciiTheme="minorHAnsi" w:hAnsiTheme="minorHAnsi" w:cstheme="minorHAnsi"/>
          <w:szCs w:val="16"/>
        </w:rPr>
        <w:t xml:space="preserve"> (dite loi MOP)</w:t>
      </w:r>
    </w:p>
    <w:p w:rsidR="00677F5F" w:rsidRPr="005B3897" w:rsidRDefault="00677F5F" w:rsidP="008D5073">
      <w:pPr>
        <w:jc w:val="both"/>
        <w:rPr>
          <w:rFonts w:asciiTheme="minorHAnsi" w:hAnsiTheme="minorHAnsi" w:cstheme="minorHAnsi"/>
          <w:szCs w:val="16"/>
        </w:rPr>
      </w:pPr>
      <w:r w:rsidRPr="005B3897">
        <w:rPr>
          <w:rFonts w:asciiTheme="minorHAnsi" w:hAnsiTheme="minorHAnsi" w:cstheme="minorHAnsi"/>
          <w:szCs w:val="16"/>
        </w:rPr>
        <w:t>Décret n°93-1268 du 29 novembre 1993 relatif aux missions de maîtrise d'œuvre confiées par des maîtres d'ouvrage publics à des prestataires de droit privé</w:t>
      </w:r>
    </w:p>
    <w:p w:rsidR="00F25BA1" w:rsidRPr="005B3897" w:rsidRDefault="00677F5F" w:rsidP="008D5073">
      <w:pPr>
        <w:jc w:val="both"/>
        <w:rPr>
          <w:rFonts w:asciiTheme="minorHAnsi" w:hAnsiTheme="minorHAnsi" w:cstheme="minorHAnsi"/>
          <w:szCs w:val="16"/>
        </w:rPr>
      </w:pPr>
      <w:r w:rsidRPr="005B3897">
        <w:rPr>
          <w:rFonts w:asciiTheme="minorHAnsi" w:hAnsiTheme="minorHAnsi" w:cstheme="minorHAnsi"/>
          <w:szCs w:val="16"/>
        </w:rPr>
        <w:t>Arrêté du 21 décembre 1993 précisant les modalités techniques d'exécution des éléments de mission de maîtrise d'œuvre confiés par des maîtres d'ouvrage publics à des prestataires de droit privé</w:t>
      </w:r>
    </w:p>
    <w:p w:rsidR="007A794C" w:rsidRPr="005B3897" w:rsidRDefault="007A794C" w:rsidP="00CC62FF">
      <w:pPr>
        <w:rPr>
          <w:rFonts w:asciiTheme="minorHAnsi" w:hAnsiTheme="minorHAnsi" w:cstheme="minorHAnsi"/>
          <w:szCs w:val="16"/>
        </w:rPr>
      </w:pPr>
    </w:p>
    <w:p w:rsidR="00A05982" w:rsidRPr="005B3897" w:rsidRDefault="00A27C46" w:rsidP="00CC62FF">
      <w:pPr>
        <w:rPr>
          <w:rFonts w:asciiTheme="minorHAnsi" w:hAnsiTheme="minorHAnsi" w:cstheme="minorHAnsi"/>
          <w:b/>
          <w:szCs w:val="16"/>
        </w:rPr>
      </w:pPr>
      <w:r w:rsidRPr="005B3897">
        <w:rPr>
          <w:rFonts w:asciiTheme="minorHAnsi" w:hAnsiTheme="minorHAnsi" w:cstheme="minorHAnsi"/>
          <w:b/>
          <w:szCs w:val="16"/>
        </w:rPr>
        <w:sym w:font="Wingdings" w:char="F046"/>
      </w:r>
      <w:r w:rsidRPr="005B3897">
        <w:rPr>
          <w:rFonts w:asciiTheme="minorHAnsi" w:hAnsiTheme="minorHAnsi" w:cstheme="minorHAnsi"/>
          <w:b/>
          <w:szCs w:val="16"/>
        </w:rPr>
        <w:t xml:space="preserve"> </w:t>
      </w:r>
      <w:r w:rsidR="00E1275C" w:rsidRPr="005B3897">
        <w:rPr>
          <w:rFonts w:asciiTheme="minorHAnsi" w:hAnsiTheme="minorHAnsi" w:cstheme="minorHAnsi"/>
          <w:b/>
          <w:szCs w:val="16"/>
        </w:rPr>
        <w:t>D</w:t>
      </w:r>
      <w:r w:rsidRPr="005B3897">
        <w:rPr>
          <w:rFonts w:asciiTheme="minorHAnsi" w:hAnsiTheme="minorHAnsi" w:cstheme="minorHAnsi"/>
          <w:b/>
          <w:szCs w:val="16"/>
        </w:rPr>
        <w:t>ispositions</w:t>
      </w:r>
      <w:r w:rsidR="00A05982" w:rsidRPr="005B3897">
        <w:rPr>
          <w:rFonts w:asciiTheme="minorHAnsi" w:hAnsiTheme="minorHAnsi" w:cstheme="minorHAnsi"/>
          <w:b/>
          <w:szCs w:val="16"/>
        </w:rPr>
        <w:t xml:space="preserve"> applicables à certains acheteurs :</w:t>
      </w:r>
    </w:p>
    <w:p w:rsidR="00A27C46" w:rsidRPr="005B3897" w:rsidRDefault="00A27C46" w:rsidP="00A27C46">
      <w:pPr>
        <w:pStyle w:val="Paragraphedeliste"/>
        <w:numPr>
          <w:ilvl w:val="0"/>
          <w:numId w:val="22"/>
        </w:numPr>
        <w:rPr>
          <w:rFonts w:asciiTheme="minorHAnsi" w:hAnsiTheme="minorHAnsi" w:cstheme="minorHAnsi"/>
          <w:b/>
          <w:szCs w:val="16"/>
        </w:rPr>
      </w:pPr>
      <w:r w:rsidRPr="005B3897">
        <w:rPr>
          <w:rFonts w:asciiTheme="minorHAnsi" w:hAnsiTheme="minorHAnsi" w:cstheme="minorHAnsi"/>
          <w:b/>
          <w:szCs w:val="16"/>
        </w:rPr>
        <w:t>Etablissements publics ayant une activité de recherche</w:t>
      </w:r>
    </w:p>
    <w:p w:rsidR="00A27C46" w:rsidRPr="00C53894" w:rsidRDefault="007C63F0" w:rsidP="00A27C46">
      <w:pPr>
        <w:jc w:val="both"/>
        <w:rPr>
          <w:rStyle w:val="Appelnotedebasdep"/>
        </w:rPr>
      </w:pPr>
      <w:r>
        <w:rPr>
          <w:rFonts w:asciiTheme="minorHAnsi" w:hAnsiTheme="minorHAnsi" w:cstheme="minorHAnsi"/>
          <w:szCs w:val="16"/>
        </w:rPr>
        <w:t xml:space="preserve">Sont soumis aux dispositions des articles </w:t>
      </w:r>
      <w:r w:rsidR="00C53894">
        <w:rPr>
          <w:rFonts w:asciiTheme="minorHAnsi" w:hAnsiTheme="minorHAnsi" w:cstheme="minorHAnsi"/>
          <w:szCs w:val="16"/>
        </w:rPr>
        <w:t>110 à 121 du décret.</w:t>
      </w:r>
    </w:p>
    <w:p w:rsidR="00A05982" w:rsidRPr="005B3897" w:rsidRDefault="00A05982" w:rsidP="00CC62FF">
      <w:pPr>
        <w:rPr>
          <w:rFonts w:asciiTheme="minorHAnsi" w:hAnsiTheme="minorHAnsi" w:cstheme="minorHAnsi"/>
          <w:szCs w:val="16"/>
        </w:rPr>
      </w:pPr>
    </w:p>
    <w:p w:rsidR="00A27C46" w:rsidRPr="005B3897" w:rsidRDefault="00A27C46" w:rsidP="00A27C46">
      <w:pPr>
        <w:pStyle w:val="Paragraphedeliste"/>
        <w:numPr>
          <w:ilvl w:val="0"/>
          <w:numId w:val="22"/>
        </w:numPr>
        <w:rPr>
          <w:rFonts w:asciiTheme="minorHAnsi" w:hAnsiTheme="minorHAnsi" w:cstheme="minorHAnsi"/>
          <w:b/>
          <w:szCs w:val="16"/>
        </w:rPr>
      </w:pPr>
      <w:r w:rsidRPr="005B3897">
        <w:rPr>
          <w:rFonts w:asciiTheme="minorHAnsi" w:hAnsiTheme="minorHAnsi" w:cstheme="minorHAnsi"/>
          <w:b/>
          <w:szCs w:val="16"/>
        </w:rPr>
        <w:t>Organismes de sécurité sociale</w:t>
      </w:r>
    </w:p>
    <w:p w:rsidR="00A27C46" w:rsidRPr="005B3897" w:rsidRDefault="00A27C46" w:rsidP="00A27C46">
      <w:pPr>
        <w:rPr>
          <w:rFonts w:asciiTheme="minorHAnsi" w:hAnsiTheme="minorHAnsi" w:cstheme="minorHAnsi"/>
          <w:szCs w:val="16"/>
        </w:rPr>
      </w:pPr>
      <w:r w:rsidRPr="005B3897">
        <w:rPr>
          <w:rFonts w:asciiTheme="minorHAnsi" w:hAnsiTheme="minorHAnsi" w:cstheme="minorHAnsi"/>
          <w:szCs w:val="16"/>
        </w:rPr>
        <w:t>Article L. 124-4 du code de la sécurité sociale</w:t>
      </w:r>
    </w:p>
    <w:p w:rsidR="00A27C46" w:rsidRPr="005B3897" w:rsidRDefault="00A27C46" w:rsidP="00A27C46">
      <w:pPr>
        <w:rPr>
          <w:rFonts w:asciiTheme="minorHAnsi" w:hAnsiTheme="minorHAnsi" w:cstheme="minorHAnsi"/>
          <w:szCs w:val="16"/>
        </w:rPr>
      </w:pPr>
      <w:r w:rsidRPr="005B3897">
        <w:rPr>
          <w:rFonts w:asciiTheme="minorHAnsi" w:hAnsiTheme="minorHAnsi" w:cstheme="minorHAnsi"/>
          <w:szCs w:val="16"/>
        </w:rPr>
        <w:t>Article L. 224-12 du code de la sécurité sociale</w:t>
      </w:r>
    </w:p>
    <w:p w:rsidR="00A27C46" w:rsidRDefault="002352CD" w:rsidP="00A27C46">
      <w:pPr>
        <w:rPr>
          <w:rFonts w:asciiTheme="minorHAnsi" w:hAnsiTheme="minorHAnsi" w:cstheme="minorHAnsi"/>
          <w:szCs w:val="16"/>
        </w:rPr>
      </w:pPr>
      <w:r w:rsidRPr="002352CD">
        <w:rPr>
          <w:rFonts w:asciiTheme="minorHAnsi" w:hAnsiTheme="minorHAnsi" w:cstheme="minorHAnsi"/>
          <w:szCs w:val="16"/>
        </w:rPr>
        <w:t>Arrêté du 21 octobre 2011 modifiant l'arrêté du 16 juin 2008 portant réglementation sur les marchés des organismes de sécurité sociale</w:t>
      </w:r>
    </w:p>
    <w:p w:rsidR="002352CD" w:rsidRPr="005B3897" w:rsidRDefault="002352CD" w:rsidP="00A27C46">
      <w:pPr>
        <w:rPr>
          <w:rFonts w:asciiTheme="minorHAnsi" w:hAnsiTheme="minorHAnsi" w:cstheme="minorHAnsi"/>
          <w:szCs w:val="16"/>
        </w:rPr>
      </w:pPr>
    </w:p>
    <w:p w:rsidR="00A27C46" w:rsidRPr="005B3897" w:rsidRDefault="00A27C46" w:rsidP="00A27C46">
      <w:pPr>
        <w:pStyle w:val="Paragraphedeliste"/>
        <w:numPr>
          <w:ilvl w:val="0"/>
          <w:numId w:val="22"/>
        </w:numPr>
        <w:rPr>
          <w:rFonts w:asciiTheme="minorHAnsi" w:hAnsiTheme="minorHAnsi" w:cstheme="minorHAnsi"/>
          <w:b/>
          <w:szCs w:val="16"/>
        </w:rPr>
      </w:pPr>
      <w:r w:rsidRPr="005B3897">
        <w:rPr>
          <w:rFonts w:asciiTheme="minorHAnsi" w:hAnsiTheme="minorHAnsi" w:cstheme="minorHAnsi"/>
          <w:b/>
          <w:szCs w:val="16"/>
        </w:rPr>
        <w:t>Organismes HLM</w:t>
      </w:r>
    </w:p>
    <w:p w:rsidR="00A27C46" w:rsidRPr="005B3897" w:rsidRDefault="00A27C46" w:rsidP="00A27C46">
      <w:pPr>
        <w:rPr>
          <w:rFonts w:asciiTheme="minorHAnsi" w:hAnsiTheme="minorHAnsi" w:cstheme="minorHAnsi"/>
          <w:szCs w:val="16"/>
        </w:rPr>
      </w:pPr>
      <w:r w:rsidRPr="005B3897">
        <w:rPr>
          <w:rFonts w:asciiTheme="minorHAnsi" w:hAnsiTheme="minorHAnsi" w:cstheme="minorHAnsi"/>
          <w:szCs w:val="16"/>
        </w:rPr>
        <w:t>Article L. 421-26 du code de la construction et de l’habitat</w:t>
      </w:r>
    </w:p>
    <w:p w:rsidR="00A27C46" w:rsidRPr="005B3897" w:rsidRDefault="00A27C46" w:rsidP="00A27C46">
      <w:pPr>
        <w:rPr>
          <w:rFonts w:asciiTheme="minorHAnsi" w:hAnsiTheme="minorHAnsi" w:cstheme="minorHAnsi"/>
          <w:szCs w:val="16"/>
        </w:rPr>
      </w:pPr>
      <w:r w:rsidRPr="005B3897">
        <w:rPr>
          <w:rFonts w:asciiTheme="minorHAnsi" w:hAnsiTheme="minorHAnsi" w:cstheme="minorHAnsi"/>
          <w:szCs w:val="16"/>
        </w:rPr>
        <w:t>Articles L. 433-1 et L. 433-2 du code de la construction et de l’habitat</w:t>
      </w:r>
    </w:p>
    <w:p w:rsidR="00A27C46" w:rsidRPr="005B3897" w:rsidRDefault="00A27C46" w:rsidP="00A27C46">
      <w:pPr>
        <w:rPr>
          <w:rFonts w:asciiTheme="minorHAnsi" w:hAnsiTheme="minorHAnsi" w:cstheme="minorHAnsi"/>
          <w:szCs w:val="16"/>
        </w:rPr>
      </w:pPr>
      <w:r w:rsidRPr="005B3897">
        <w:rPr>
          <w:rFonts w:asciiTheme="minorHAnsi" w:hAnsiTheme="minorHAnsi" w:cstheme="minorHAnsi"/>
          <w:szCs w:val="16"/>
        </w:rPr>
        <w:t>Article R. 433-1 du code de la construction et de l’habitat</w:t>
      </w:r>
    </w:p>
    <w:p w:rsidR="00A27C46" w:rsidRPr="005B3897" w:rsidRDefault="00A27C46" w:rsidP="00A27C46">
      <w:pPr>
        <w:rPr>
          <w:rFonts w:asciiTheme="minorHAnsi" w:hAnsiTheme="minorHAnsi" w:cstheme="minorHAnsi"/>
          <w:szCs w:val="16"/>
        </w:rPr>
      </w:pPr>
      <w:r w:rsidRPr="005B3897">
        <w:rPr>
          <w:rFonts w:asciiTheme="minorHAnsi" w:hAnsiTheme="minorHAnsi" w:cstheme="minorHAnsi"/>
          <w:szCs w:val="16"/>
        </w:rPr>
        <w:t>Articles R. 433-5 à R. 433-18 du code de la construction et de l’habitat</w:t>
      </w:r>
    </w:p>
    <w:p w:rsidR="00A05982" w:rsidRPr="005B3897" w:rsidRDefault="00A05982" w:rsidP="00CC62FF">
      <w:pPr>
        <w:rPr>
          <w:rFonts w:asciiTheme="minorHAnsi" w:hAnsiTheme="minorHAnsi" w:cstheme="minorHAnsi"/>
          <w:szCs w:val="16"/>
        </w:rPr>
      </w:pPr>
    </w:p>
    <w:p w:rsidR="00831829" w:rsidRPr="005B3897" w:rsidRDefault="000E1373" w:rsidP="00E4547B">
      <w:pPr>
        <w:pBdr>
          <w:top w:val="single" w:sz="12" w:space="1" w:color="auto"/>
          <w:left w:val="single" w:sz="12" w:space="4" w:color="auto"/>
          <w:bottom w:val="single" w:sz="12" w:space="1" w:color="auto"/>
          <w:right w:val="single" w:sz="12" w:space="4" w:color="auto"/>
        </w:pBdr>
        <w:rPr>
          <w:rFonts w:asciiTheme="minorHAnsi" w:hAnsiTheme="minorHAnsi" w:cstheme="minorHAnsi"/>
          <w:szCs w:val="16"/>
        </w:rPr>
      </w:pPr>
      <w:r w:rsidRPr="005B3897">
        <w:rPr>
          <w:rFonts w:asciiTheme="minorHAnsi" w:hAnsiTheme="minorHAnsi" w:cstheme="minorHAnsi"/>
          <w:sz w:val="28"/>
          <w:szCs w:val="28"/>
        </w:rPr>
        <w:sym w:font="Wingdings" w:char="F0DC"/>
      </w:r>
      <w:r w:rsidRPr="005B3897">
        <w:rPr>
          <w:rFonts w:asciiTheme="minorHAnsi" w:hAnsiTheme="minorHAnsi" w:cstheme="minorHAnsi"/>
          <w:szCs w:val="16"/>
        </w:rPr>
        <w:t>A l’issue de la vérification des points 2.1 et 2.2 :</w:t>
      </w:r>
    </w:p>
    <w:p w:rsidR="000E1373" w:rsidRPr="005B3897" w:rsidRDefault="000E1373" w:rsidP="00E4547B">
      <w:pPr>
        <w:pBdr>
          <w:top w:val="single" w:sz="12" w:space="1" w:color="auto"/>
          <w:left w:val="single" w:sz="12" w:space="4" w:color="auto"/>
          <w:bottom w:val="single" w:sz="12" w:space="1" w:color="auto"/>
          <w:right w:val="single" w:sz="12" w:space="4" w:color="auto"/>
        </w:pBdr>
        <w:jc w:val="both"/>
        <w:rPr>
          <w:rFonts w:asciiTheme="minorHAnsi" w:hAnsiTheme="minorHAnsi" w:cstheme="minorHAnsi"/>
          <w:szCs w:val="16"/>
        </w:rPr>
      </w:pPr>
      <w:r w:rsidRPr="005B3897">
        <w:rPr>
          <w:rFonts w:asciiTheme="minorHAnsi" w:hAnsiTheme="minorHAnsi" w:cstheme="minorHAnsi"/>
          <w:szCs w:val="16"/>
        </w:rPr>
        <w:tab/>
        <w:t>-si tous les contrats passés par le bénéficiaire pour la réalisation de l’opération sont des marchés publics, il n’y a pas lieu de vérifier si une autre règlementation s’applique. L’étape suivante consiste en la vérification de la régularité des procédures de passation de ces marchés (point II-A).</w:t>
      </w:r>
    </w:p>
    <w:p w:rsidR="00BF2D9F" w:rsidRPr="005B3897" w:rsidRDefault="000E1373" w:rsidP="00E4547B">
      <w:pPr>
        <w:pBdr>
          <w:top w:val="single" w:sz="12" w:space="1" w:color="auto"/>
          <w:left w:val="single" w:sz="12" w:space="4" w:color="auto"/>
          <w:bottom w:val="single" w:sz="12" w:space="1" w:color="auto"/>
          <w:right w:val="single" w:sz="12" w:space="4" w:color="auto"/>
        </w:pBdr>
        <w:jc w:val="both"/>
        <w:rPr>
          <w:rFonts w:asciiTheme="minorHAnsi" w:hAnsiTheme="minorHAnsi" w:cstheme="minorHAnsi"/>
          <w:szCs w:val="16"/>
        </w:rPr>
      </w:pPr>
      <w:r w:rsidRPr="005B3897">
        <w:rPr>
          <w:rFonts w:asciiTheme="minorHAnsi" w:hAnsiTheme="minorHAnsi" w:cstheme="minorHAnsi"/>
          <w:szCs w:val="16"/>
        </w:rPr>
        <w:tab/>
        <w:t xml:space="preserve">-si au moins un contrat n’est pas qualifié de marché publics, il convient de vérifier </w:t>
      </w:r>
      <w:r w:rsidR="00BF2D9F" w:rsidRPr="005B3897">
        <w:rPr>
          <w:rFonts w:asciiTheme="minorHAnsi" w:hAnsiTheme="minorHAnsi" w:cstheme="minorHAnsi"/>
          <w:szCs w:val="16"/>
        </w:rPr>
        <w:t>si ce ou ces contrats est soumis à d’autres règles spécifiques.</w:t>
      </w:r>
    </w:p>
    <w:p w:rsidR="00BF2D9F" w:rsidRPr="005B3897" w:rsidRDefault="00BF2D9F" w:rsidP="00E4547B">
      <w:pPr>
        <w:pBdr>
          <w:top w:val="single" w:sz="12" w:space="1" w:color="auto"/>
          <w:left w:val="single" w:sz="12" w:space="4" w:color="auto"/>
          <w:bottom w:val="single" w:sz="12" w:space="1" w:color="auto"/>
          <w:right w:val="single" w:sz="12" w:space="4" w:color="auto"/>
        </w:pBdr>
        <w:jc w:val="both"/>
        <w:rPr>
          <w:rFonts w:asciiTheme="minorHAnsi" w:hAnsiTheme="minorHAnsi" w:cstheme="minorHAnsi"/>
          <w:b/>
          <w:szCs w:val="16"/>
        </w:rPr>
      </w:pPr>
      <w:r w:rsidRPr="005B3897">
        <w:rPr>
          <w:rFonts w:asciiTheme="minorHAnsi" w:hAnsiTheme="minorHAnsi" w:cstheme="minorHAnsi"/>
          <w:b/>
          <w:szCs w:val="16"/>
        </w:rPr>
        <w:t>Rappel : il s’agit uniquement de contrats publics passé par le bénéficiaire en vue de la satisfaction d’un besoin pour la mise en œuvre de ses actions.</w:t>
      </w:r>
    </w:p>
    <w:p w:rsidR="00BF2D9F" w:rsidRPr="005B3897" w:rsidRDefault="00BF2D9F" w:rsidP="00BF2D9F">
      <w:pPr>
        <w:jc w:val="both"/>
        <w:rPr>
          <w:rFonts w:asciiTheme="minorHAnsi" w:hAnsiTheme="minorHAnsi" w:cstheme="minorHAnsi"/>
          <w:szCs w:val="16"/>
        </w:rPr>
      </w:pPr>
    </w:p>
    <w:p w:rsidR="00BC6263" w:rsidRPr="005B3897" w:rsidRDefault="00BC6263" w:rsidP="00BF2D9F">
      <w:pPr>
        <w:jc w:val="both"/>
        <w:rPr>
          <w:rFonts w:asciiTheme="minorHAnsi" w:hAnsiTheme="minorHAnsi" w:cstheme="minorHAnsi"/>
          <w:szCs w:val="16"/>
        </w:rPr>
      </w:pPr>
    </w:p>
    <w:p w:rsidR="00BF2D9F" w:rsidRPr="005B3897" w:rsidRDefault="00BF2D9F" w:rsidP="00BF2D9F">
      <w:pPr>
        <w:jc w:val="both"/>
        <w:rPr>
          <w:rFonts w:asciiTheme="minorHAnsi" w:hAnsiTheme="minorHAnsi" w:cstheme="minorHAnsi"/>
          <w:b/>
          <w:i/>
          <w:sz w:val="22"/>
          <w:szCs w:val="22"/>
          <w:u w:val="single"/>
        </w:rPr>
      </w:pPr>
      <w:r w:rsidRPr="005B3897">
        <w:rPr>
          <w:rFonts w:asciiTheme="minorHAnsi" w:hAnsiTheme="minorHAnsi" w:cstheme="minorHAnsi"/>
          <w:b/>
          <w:i/>
          <w:sz w:val="22"/>
          <w:szCs w:val="22"/>
          <w:u w:val="single"/>
        </w:rPr>
        <w:t>Autres contrats :</w:t>
      </w:r>
    </w:p>
    <w:p w:rsidR="00BF2D9F" w:rsidRPr="005B3897" w:rsidRDefault="00BF2D9F" w:rsidP="00BF2D9F">
      <w:pPr>
        <w:jc w:val="both"/>
        <w:rPr>
          <w:rFonts w:asciiTheme="minorHAnsi" w:hAnsiTheme="minorHAnsi" w:cstheme="minorHAnsi"/>
          <w:b/>
          <w:szCs w:val="16"/>
        </w:rPr>
      </w:pPr>
      <w:r w:rsidRPr="005B3897">
        <w:rPr>
          <w:rFonts w:asciiTheme="minorHAnsi" w:hAnsiTheme="minorHAnsi" w:cstheme="minorHAnsi"/>
          <w:b/>
          <w:szCs w:val="16"/>
        </w:rPr>
        <w:t>2.3 Principaux type de contrats publics hors marchés publics</w:t>
      </w:r>
      <w:r w:rsidR="00A05982" w:rsidRPr="005B3897">
        <w:rPr>
          <w:rStyle w:val="Appelnotedebasdep"/>
          <w:rFonts w:asciiTheme="minorHAnsi" w:hAnsiTheme="minorHAnsi" w:cstheme="minorHAnsi"/>
          <w:b/>
          <w:szCs w:val="16"/>
        </w:rPr>
        <w:footnoteReference w:id="2"/>
      </w:r>
      <w:r w:rsidRPr="005B3897">
        <w:rPr>
          <w:rFonts w:asciiTheme="minorHAnsi" w:hAnsiTheme="minorHAnsi" w:cstheme="minorHAnsi"/>
          <w:b/>
          <w:szCs w:val="16"/>
        </w:rPr>
        <w:t> :</w:t>
      </w:r>
    </w:p>
    <w:p w:rsidR="00A05982" w:rsidRPr="005B3897" w:rsidRDefault="00A05982" w:rsidP="00BF2D9F">
      <w:pPr>
        <w:jc w:val="both"/>
        <w:rPr>
          <w:rFonts w:asciiTheme="minorHAnsi" w:hAnsiTheme="minorHAnsi" w:cstheme="minorHAnsi"/>
          <w:szCs w:val="16"/>
        </w:rPr>
      </w:pPr>
    </w:p>
    <w:p w:rsidR="00A909A8" w:rsidRPr="00A909A8" w:rsidRDefault="00A909A8" w:rsidP="00A909A8">
      <w:pPr>
        <w:pStyle w:val="Paragraphedeliste"/>
        <w:numPr>
          <w:ilvl w:val="0"/>
          <w:numId w:val="21"/>
        </w:numPr>
        <w:rPr>
          <w:rFonts w:asciiTheme="minorHAnsi" w:hAnsiTheme="minorHAnsi" w:cstheme="minorHAnsi"/>
          <w:b/>
          <w:szCs w:val="16"/>
        </w:rPr>
      </w:pPr>
      <w:r w:rsidRPr="00A909A8">
        <w:rPr>
          <w:rFonts w:asciiTheme="minorHAnsi" w:hAnsiTheme="minorHAnsi" w:cstheme="minorHAnsi"/>
          <w:b/>
          <w:szCs w:val="16"/>
        </w:rPr>
        <w:t>Concessions : textes applicables à compter de 2016</w:t>
      </w:r>
    </w:p>
    <w:p w:rsidR="00A909A8" w:rsidRPr="00A909A8" w:rsidRDefault="00A909A8" w:rsidP="00A909A8">
      <w:pPr>
        <w:tabs>
          <w:tab w:val="left" w:pos="1273"/>
        </w:tabs>
        <w:jc w:val="both"/>
        <w:rPr>
          <w:rFonts w:asciiTheme="minorHAnsi" w:hAnsiTheme="minorHAnsi" w:cstheme="minorHAnsi"/>
          <w:szCs w:val="16"/>
        </w:rPr>
      </w:pPr>
      <w:r>
        <w:rPr>
          <w:rFonts w:asciiTheme="minorHAnsi" w:hAnsiTheme="minorHAnsi" w:cstheme="minorHAnsi"/>
          <w:szCs w:val="16"/>
        </w:rPr>
        <w:t>L</w:t>
      </w:r>
      <w:r w:rsidRPr="00A909A8">
        <w:rPr>
          <w:rFonts w:asciiTheme="minorHAnsi" w:hAnsiTheme="minorHAnsi" w:cstheme="minorHAnsi"/>
          <w:szCs w:val="16"/>
        </w:rPr>
        <w:t>’ordonnance n°2016-65 du 29 janvier 2016 relative aux contrats de concession et son décret d’application n°2016-86 du 1er février 2016 entren</w:t>
      </w:r>
      <w:r>
        <w:rPr>
          <w:rFonts w:asciiTheme="minorHAnsi" w:hAnsiTheme="minorHAnsi" w:cstheme="minorHAnsi"/>
          <w:szCs w:val="16"/>
        </w:rPr>
        <w:t xml:space="preserve">t en vigueur le 1er avril 2016. </w:t>
      </w:r>
      <w:r w:rsidRPr="00A909A8">
        <w:rPr>
          <w:rFonts w:asciiTheme="minorHAnsi" w:hAnsiTheme="minorHAnsi" w:cstheme="minorHAnsi"/>
          <w:szCs w:val="16"/>
        </w:rPr>
        <w:t>Ils s’appliquent aux contrats de concession pour lesquels une consultation est engagée ou un avis de concession est envoyé à la publication à compter du 1er avril 2016.</w:t>
      </w:r>
    </w:p>
    <w:p w:rsidR="00A909A8" w:rsidRPr="00A909A8" w:rsidRDefault="00A909A8" w:rsidP="00A909A8">
      <w:pPr>
        <w:tabs>
          <w:tab w:val="left" w:pos="1273"/>
        </w:tabs>
        <w:jc w:val="both"/>
        <w:rPr>
          <w:rFonts w:asciiTheme="minorHAnsi" w:hAnsiTheme="minorHAnsi" w:cstheme="minorHAnsi"/>
          <w:szCs w:val="16"/>
        </w:rPr>
      </w:pPr>
    </w:p>
    <w:p w:rsidR="00A909A8" w:rsidRPr="00A909A8" w:rsidRDefault="00A909A8" w:rsidP="00A909A8">
      <w:pPr>
        <w:tabs>
          <w:tab w:val="left" w:pos="1273"/>
        </w:tabs>
        <w:jc w:val="both"/>
        <w:rPr>
          <w:rFonts w:asciiTheme="minorHAnsi" w:hAnsiTheme="minorHAnsi" w:cstheme="minorHAnsi"/>
          <w:szCs w:val="16"/>
        </w:rPr>
      </w:pPr>
      <w:r>
        <w:rPr>
          <w:rFonts w:asciiTheme="minorHAnsi" w:hAnsiTheme="minorHAnsi" w:cstheme="minorHAnsi"/>
          <w:szCs w:val="16"/>
        </w:rPr>
        <w:t>U</w:t>
      </w:r>
      <w:r w:rsidRPr="00A909A8">
        <w:rPr>
          <w:rFonts w:asciiTheme="minorHAnsi" w:hAnsiTheme="minorHAnsi" w:cstheme="minorHAnsi"/>
          <w:szCs w:val="16"/>
        </w:rPr>
        <w:t>n dispositif d’entrée en vigueur spécifique est prévu pour certaines dispositions :</w:t>
      </w:r>
    </w:p>
    <w:p w:rsidR="00A909A8" w:rsidRPr="00A909A8" w:rsidRDefault="00A909A8" w:rsidP="00A909A8">
      <w:pPr>
        <w:tabs>
          <w:tab w:val="left" w:pos="1273"/>
        </w:tabs>
        <w:jc w:val="both"/>
        <w:rPr>
          <w:rFonts w:asciiTheme="minorHAnsi" w:hAnsiTheme="minorHAnsi" w:cstheme="minorHAnsi"/>
          <w:szCs w:val="16"/>
        </w:rPr>
      </w:pPr>
    </w:p>
    <w:p w:rsidR="00A909A8" w:rsidRPr="00A909A8" w:rsidRDefault="00A909A8" w:rsidP="00A909A8">
      <w:pPr>
        <w:tabs>
          <w:tab w:val="left" w:pos="1273"/>
        </w:tabs>
        <w:jc w:val="both"/>
        <w:rPr>
          <w:rFonts w:asciiTheme="minorHAnsi" w:hAnsiTheme="minorHAnsi" w:cstheme="minorHAnsi"/>
          <w:szCs w:val="16"/>
        </w:rPr>
      </w:pPr>
      <w:r w:rsidRPr="00A909A8">
        <w:rPr>
          <w:rFonts w:asciiTheme="minorHAnsi" w:hAnsiTheme="minorHAnsi" w:cstheme="minorHAnsi"/>
          <w:szCs w:val="16"/>
        </w:rPr>
        <w:t xml:space="preserve">- l’ensemble des dispositions relatives à la modification des contrats de concession en cours d’exécution (art. 55 de l’ordonnance – art. 36 et 37 du décret) s'applique également aux contrats qui sont des contrats de </w:t>
      </w:r>
      <w:r w:rsidRPr="00A909A8">
        <w:rPr>
          <w:rFonts w:asciiTheme="minorHAnsi" w:hAnsiTheme="minorHAnsi" w:cstheme="minorHAnsi"/>
          <w:szCs w:val="16"/>
        </w:rPr>
        <w:lastRenderedPageBreak/>
        <w:t>concession au sens des nouveaux textes et qui ont été conclus ou pour lesquels une procédure de passation a été engagée ou un avis de concession a été envoyé à la publication avant le 1er avril 2016 ;</w:t>
      </w:r>
    </w:p>
    <w:p w:rsidR="00A909A8" w:rsidRPr="00A909A8" w:rsidRDefault="00A909A8" w:rsidP="00A909A8">
      <w:pPr>
        <w:tabs>
          <w:tab w:val="left" w:pos="1273"/>
        </w:tabs>
        <w:jc w:val="both"/>
        <w:rPr>
          <w:rFonts w:asciiTheme="minorHAnsi" w:hAnsiTheme="minorHAnsi" w:cstheme="minorHAnsi"/>
          <w:szCs w:val="16"/>
        </w:rPr>
      </w:pPr>
    </w:p>
    <w:p w:rsidR="00A909A8" w:rsidRPr="00A909A8" w:rsidRDefault="00A909A8" w:rsidP="00A909A8">
      <w:pPr>
        <w:tabs>
          <w:tab w:val="left" w:pos="1273"/>
        </w:tabs>
        <w:jc w:val="both"/>
        <w:rPr>
          <w:rFonts w:asciiTheme="minorHAnsi" w:hAnsiTheme="minorHAnsi" w:cstheme="minorHAnsi"/>
          <w:szCs w:val="16"/>
        </w:rPr>
      </w:pPr>
      <w:r w:rsidRPr="00A909A8">
        <w:rPr>
          <w:rFonts w:asciiTheme="minorHAnsi" w:hAnsiTheme="minorHAnsi" w:cstheme="minorHAnsi"/>
          <w:szCs w:val="16"/>
        </w:rPr>
        <w:t>- le I de l’article 56 de l’ordonnance, relatif aux modalités d’indemnisation des dépenses que le concessionnaire a engagées conformément au contrat en cas d'annulation, de résolution ou de résiliation du contrat de concession par le juge, est entré en vigueur depuis le 31 janvier 2016. Il s'applique aux décisions juridictionnelles rendues à compter du 31 janvier 2016 ;</w:t>
      </w:r>
    </w:p>
    <w:p w:rsidR="00A909A8" w:rsidRPr="00A909A8" w:rsidRDefault="00A909A8" w:rsidP="00A909A8">
      <w:pPr>
        <w:tabs>
          <w:tab w:val="left" w:pos="1273"/>
        </w:tabs>
        <w:jc w:val="both"/>
        <w:rPr>
          <w:rFonts w:asciiTheme="minorHAnsi" w:hAnsiTheme="minorHAnsi" w:cstheme="minorHAnsi"/>
          <w:szCs w:val="16"/>
        </w:rPr>
      </w:pPr>
    </w:p>
    <w:p w:rsidR="00A909A8" w:rsidRPr="00A909A8" w:rsidRDefault="00A909A8" w:rsidP="00A909A8">
      <w:pPr>
        <w:tabs>
          <w:tab w:val="left" w:pos="1273"/>
        </w:tabs>
        <w:jc w:val="both"/>
        <w:rPr>
          <w:rFonts w:asciiTheme="minorHAnsi" w:hAnsiTheme="minorHAnsi" w:cstheme="minorHAnsi"/>
          <w:szCs w:val="16"/>
        </w:rPr>
      </w:pPr>
      <w:r w:rsidRPr="00A909A8">
        <w:rPr>
          <w:rFonts w:asciiTheme="minorHAnsi" w:hAnsiTheme="minorHAnsi" w:cstheme="minorHAnsi"/>
          <w:szCs w:val="16"/>
        </w:rPr>
        <w:t>- le III de l’article 56 de l’ordonnance, relatif aux clauses contractuelles fixant les modalités d'indemnisation du concessionnaire en cas d'annulation, de résolution ou de résiliation du contrat de concession par le juge, s'applique aux décisions juridictionnelles rendues à compter du 1er avril 2016.</w:t>
      </w:r>
    </w:p>
    <w:p w:rsidR="00A909A8" w:rsidRPr="00A909A8" w:rsidRDefault="00A909A8" w:rsidP="00A909A8">
      <w:pPr>
        <w:tabs>
          <w:tab w:val="left" w:pos="1273"/>
        </w:tabs>
        <w:jc w:val="both"/>
        <w:rPr>
          <w:rFonts w:asciiTheme="minorHAnsi" w:hAnsiTheme="minorHAnsi" w:cstheme="minorHAnsi"/>
          <w:szCs w:val="16"/>
        </w:rPr>
      </w:pPr>
    </w:p>
    <w:p w:rsidR="00A909A8" w:rsidRPr="00A909A8" w:rsidRDefault="00A909A8" w:rsidP="00A909A8">
      <w:pPr>
        <w:tabs>
          <w:tab w:val="left" w:pos="1273"/>
        </w:tabs>
        <w:jc w:val="both"/>
        <w:rPr>
          <w:rFonts w:asciiTheme="minorHAnsi" w:hAnsiTheme="minorHAnsi" w:cstheme="minorHAnsi"/>
          <w:szCs w:val="16"/>
        </w:rPr>
      </w:pPr>
    </w:p>
    <w:p w:rsidR="00A909A8" w:rsidRPr="00A909A8" w:rsidRDefault="00304EBD" w:rsidP="00A909A8">
      <w:pPr>
        <w:pBdr>
          <w:top w:val="single" w:sz="12" w:space="1" w:color="auto"/>
          <w:left w:val="single" w:sz="12" w:space="4" w:color="auto"/>
          <w:bottom w:val="single" w:sz="12" w:space="1" w:color="auto"/>
          <w:right w:val="single" w:sz="12" w:space="4" w:color="auto"/>
        </w:pBdr>
        <w:jc w:val="both"/>
        <w:rPr>
          <w:rFonts w:asciiTheme="minorHAnsi" w:hAnsiTheme="minorHAnsi" w:cstheme="minorHAnsi"/>
          <w:szCs w:val="16"/>
        </w:rPr>
      </w:pPr>
      <w:r w:rsidRPr="005B3897">
        <w:rPr>
          <w:rFonts w:asciiTheme="minorHAnsi" w:hAnsiTheme="minorHAnsi" w:cstheme="minorHAnsi"/>
          <w:sz w:val="28"/>
          <w:szCs w:val="28"/>
        </w:rPr>
        <w:sym w:font="Wingdings" w:char="F0DC"/>
      </w:r>
      <w:r w:rsidR="00A909A8" w:rsidRPr="00A909A8">
        <w:rPr>
          <w:rFonts w:asciiTheme="minorHAnsi" w:hAnsiTheme="minorHAnsi" w:cstheme="minorHAnsi"/>
          <w:szCs w:val="16"/>
        </w:rPr>
        <w:t xml:space="preserve"> Textes d’application relatifs aux concessions (arrêtés et avis)</w:t>
      </w:r>
    </w:p>
    <w:p w:rsidR="00A909A8" w:rsidRPr="00A909A8" w:rsidRDefault="00304EBD" w:rsidP="00A909A8">
      <w:pPr>
        <w:pBdr>
          <w:top w:val="single" w:sz="12" w:space="1" w:color="auto"/>
          <w:left w:val="single" w:sz="12" w:space="4" w:color="auto"/>
          <w:bottom w:val="single" w:sz="12" w:space="1" w:color="auto"/>
          <w:right w:val="single" w:sz="12" w:space="4" w:color="auto"/>
        </w:pBdr>
        <w:jc w:val="both"/>
        <w:rPr>
          <w:rFonts w:asciiTheme="minorHAnsi" w:hAnsiTheme="minorHAnsi" w:cstheme="minorHAnsi"/>
          <w:szCs w:val="16"/>
        </w:rPr>
      </w:pPr>
      <w:r>
        <w:rPr>
          <w:rFonts w:asciiTheme="minorHAnsi" w:hAnsiTheme="minorHAnsi" w:cstheme="minorHAnsi"/>
          <w:szCs w:val="16"/>
        </w:rPr>
        <w:t xml:space="preserve"> </w:t>
      </w:r>
    </w:p>
    <w:p w:rsidR="00BC6263" w:rsidRPr="00A909A8" w:rsidRDefault="00A909A8" w:rsidP="00A909A8">
      <w:pPr>
        <w:pBdr>
          <w:top w:val="single" w:sz="12" w:space="1" w:color="auto"/>
          <w:left w:val="single" w:sz="12" w:space="4" w:color="auto"/>
          <w:bottom w:val="single" w:sz="12" w:space="1" w:color="auto"/>
          <w:right w:val="single" w:sz="12" w:space="4" w:color="auto"/>
        </w:pBdr>
        <w:jc w:val="both"/>
        <w:rPr>
          <w:rFonts w:asciiTheme="minorHAnsi" w:hAnsiTheme="minorHAnsi" w:cstheme="minorHAnsi"/>
          <w:szCs w:val="16"/>
        </w:rPr>
      </w:pPr>
      <w:r w:rsidRPr="00A909A8">
        <w:rPr>
          <w:rFonts w:asciiTheme="minorHAnsi" w:hAnsiTheme="minorHAnsi" w:cstheme="minorHAnsi"/>
          <w:szCs w:val="16"/>
        </w:rPr>
        <w:t>Les contrats de service public de transport de voyageurs qui s’analysent comme des contrats de concessions sont à la fois soumis aux dispositions des textes précités (article 25 de l’ordonnance du 29 janvier 2016 et article 1er du décret du 1er février 2016) et au règlement (CE) n°1370/2007 du Parlement européen et du Conseil du 23 octobre 2007 relatif aux services publics de transport de voyageurs par chemin de fer et par route, et abrogeant les règlements (CEE) n°1191/69 et (CEE) n°1107/70 du Conseil.</w:t>
      </w:r>
    </w:p>
    <w:p w:rsidR="00A909A8" w:rsidRDefault="00A909A8" w:rsidP="00A909A8">
      <w:pPr>
        <w:tabs>
          <w:tab w:val="left" w:pos="1273"/>
        </w:tabs>
        <w:jc w:val="both"/>
        <w:rPr>
          <w:rFonts w:asciiTheme="minorHAnsi" w:hAnsiTheme="minorHAnsi" w:cstheme="minorHAnsi"/>
          <w:szCs w:val="16"/>
        </w:rPr>
      </w:pPr>
    </w:p>
    <w:p w:rsidR="00A909A8" w:rsidRPr="005B3897" w:rsidRDefault="00A909A8" w:rsidP="00A909A8">
      <w:pPr>
        <w:tabs>
          <w:tab w:val="left" w:pos="1273"/>
        </w:tabs>
        <w:jc w:val="both"/>
        <w:rPr>
          <w:rFonts w:asciiTheme="minorHAnsi" w:hAnsiTheme="minorHAnsi" w:cstheme="minorHAnsi"/>
          <w:szCs w:val="16"/>
        </w:rPr>
      </w:pPr>
    </w:p>
    <w:p w:rsidR="000A40E6" w:rsidRPr="005B3897" w:rsidRDefault="000A40E6" w:rsidP="000A40E6">
      <w:pPr>
        <w:pStyle w:val="Paragraphedeliste"/>
        <w:numPr>
          <w:ilvl w:val="0"/>
          <w:numId w:val="21"/>
        </w:numPr>
        <w:rPr>
          <w:rFonts w:asciiTheme="minorHAnsi" w:hAnsiTheme="minorHAnsi" w:cstheme="minorHAnsi"/>
          <w:b/>
          <w:szCs w:val="16"/>
        </w:rPr>
      </w:pPr>
      <w:r w:rsidRPr="005B3897">
        <w:rPr>
          <w:rFonts w:asciiTheme="minorHAnsi" w:hAnsiTheme="minorHAnsi" w:cstheme="minorHAnsi"/>
          <w:b/>
          <w:szCs w:val="16"/>
        </w:rPr>
        <w:t>CONTRATS DE PARTENARIAT</w:t>
      </w:r>
    </w:p>
    <w:p w:rsidR="000A40E6" w:rsidRPr="005B3897" w:rsidRDefault="000A40E6" w:rsidP="000A40E6">
      <w:pPr>
        <w:jc w:val="both"/>
        <w:rPr>
          <w:rFonts w:asciiTheme="minorHAnsi" w:hAnsiTheme="minorHAnsi" w:cstheme="minorHAnsi"/>
          <w:b/>
          <w:szCs w:val="16"/>
        </w:rPr>
      </w:pPr>
      <w:r w:rsidRPr="005B3897">
        <w:rPr>
          <w:rFonts w:asciiTheme="minorHAnsi" w:hAnsiTheme="minorHAnsi" w:cstheme="minorHAnsi"/>
          <w:b/>
          <w:szCs w:val="16"/>
        </w:rPr>
        <w:t>Définition :</w:t>
      </w:r>
    </w:p>
    <w:p w:rsidR="00304EBD" w:rsidRPr="00304EBD" w:rsidRDefault="00304EBD" w:rsidP="00304EBD">
      <w:pPr>
        <w:jc w:val="both"/>
        <w:rPr>
          <w:rFonts w:asciiTheme="minorHAnsi" w:hAnsiTheme="minorHAnsi" w:cstheme="minorHAnsi"/>
          <w:szCs w:val="16"/>
        </w:rPr>
      </w:pPr>
      <w:r>
        <w:rPr>
          <w:rFonts w:asciiTheme="minorHAnsi" w:hAnsiTheme="minorHAnsi" w:cstheme="minorHAnsi"/>
          <w:szCs w:val="16"/>
        </w:rPr>
        <w:t xml:space="preserve">L’ordonnance n°2015-899du  23  juillet  2015 </w:t>
      </w:r>
      <w:r w:rsidRPr="00304EBD">
        <w:rPr>
          <w:rFonts w:asciiTheme="minorHAnsi" w:hAnsiTheme="minorHAnsi" w:cstheme="minorHAnsi"/>
          <w:szCs w:val="16"/>
        </w:rPr>
        <w:t>consacre  le  marché  de  parte</w:t>
      </w:r>
      <w:r>
        <w:rPr>
          <w:rFonts w:asciiTheme="minorHAnsi" w:hAnsiTheme="minorHAnsi" w:cstheme="minorHAnsi"/>
          <w:szCs w:val="16"/>
        </w:rPr>
        <w:t xml:space="preserve">nariat  comme  une  catégorie   </w:t>
      </w:r>
      <w:r w:rsidRPr="00304EBD">
        <w:rPr>
          <w:rFonts w:asciiTheme="minorHAnsi" w:hAnsiTheme="minorHAnsi" w:cstheme="minorHAnsi"/>
          <w:szCs w:val="16"/>
        </w:rPr>
        <w:t>spéc</w:t>
      </w:r>
      <w:r>
        <w:rPr>
          <w:rFonts w:asciiTheme="minorHAnsi" w:hAnsiTheme="minorHAnsi" w:cstheme="minorHAnsi"/>
          <w:szCs w:val="16"/>
        </w:rPr>
        <w:t xml:space="preserve">ifique  de  marché  public  qui </w:t>
      </w:r>
      <w:r w:rsidRPr="00304EBD">
        <w:rPr>
          <w:rFonts w:asciiTheme="minorHAnsi" w:hAnsiTheme="minorHAnsi" w:cstheme="minorHAnsi"/>
          <w:szCs w:val="16"/>
        </w:rPr>
        <w:t>« permet  de  confier  à  un  opérateur  écon</w:t>
      </w:r>
      <w:r>
        <w:rPr>
          <w:rFonts w:asciiTheme="minorHAnsi" w:hAnsiTheme="minorHAnsi" w:cstheme="minorHAnsi"/>
          <w:szCs w:val="16"/>
        </w:rPr>
        <w:t xml:space="preserve">omique  ou  à  un  groupement </w:t>
      </w:r>
      <w:r w:rsidRPr="00304EBD">
        <w:rPr>
          <w:rFonts w:asciiTheme="minorHAnsi" w:hAnsiTheme="minorHAnsi" w:cstheme="minorHAnsi"/>
          <w:szCs w:val="16"/>
        </w:rPr>
        <w:t>d’opérateurs  écon</w:t>
      </w:r>
      <w:r>
        <w:rPr>
          <w:rFonts w:asciiTheme="minorHAnsi" w:hAnsiTheme="minorHAnsi" w:cstheme="minorHAnsi"/>
          <w:szCs w:val="16"/>
        </w:rPr>
        <w:t>omiques  une  mission  globale »</w:t>
      </w:r>
      <w:r w:rsidRPr="00304EBD">
        <w:rPr>
          <w:rFonts w:asciiTheme="minorHAnsi" w:hAnsiTheme="minorHAnsi" w:cstheme="minorHAnsi"/>
          <w:szCs w:val="16"/>
        </w:rPr>
        <w:t xml:space="preserve"> so</w:t>
      </w:r>
      <w:r>
        <w:rPr>
          <w:rFonts w:asciiTheme="minorHAnsi" w:hAnsiTheme="minorHAnsi" w:cstheme="minorHAnsi"/>
          <w:szCs w:val="16"/>
        </w:rPr>
        <w:t xml:space="preserve">us  maîtrise  d’ouvrage  privée (article 67 de l’ordonnance). </w:t>
      </w:r>
    </w:p>
    <w:p w:rsidR="00304EBD" w:rsidRPr="00304EBD" w:rsidRDefault="00304EBD" w:rsidP="00304EBD">
      <w:pPr>
        <w:jc w:val="both"/>
        <w:rPr>
          <w:rFonts w:asciiTheme="minorHAnsi" w:hAnsiTheme="minorHAnsi" w:cstheme="minorHAnsi"/>
          <w:szCs w:val="16"/>
        </w:rPr>
      </w:pPr>
      <w:r w:rsidRPr="00304EBD">
        <w:rPr>
          <w:rFonts w:asciiTheme="minorHAnsi" w:hAnsiTheme="minorHAnsi" w:cstheme="minorHAnsi"/>
          <w:szCs w:val="16"/>
        </w:rPr>
        <w:t>.</w:t>
      </w:r>
    </w:p>
    <w:p w:rsidR="000A40E6" w:rsidRPr="005B3897" w:rsidRDefault="00304EBD" w:rsidP="00304EBD">
      <w:pPr>
        <w:jc w:val="both"/>
        <w:rPr>
          <w:rFonts w:asciiTheme="minorHAnsi" w:hAnsiTheme="minorHAnsi" w:cstheme="minorHAnsi"/>
          <w:b/>
          <w:szCs w:val="16"/>
        </w:rPr>
      </w:pPr>
      <w:r w:rsidRPr="00304EBD">
        <w:rPr>
          <w:rFonts w:asciiTheme="minorHAnsi" w:hAnsiTheme="minorHAnsi" w:cstheme="minorHAnsi"/>
          <w:szCs w:val="16"/>
        </w:rPr>
        <w:t xml:space="preserve">  </w:t>
      </w:r>
    </w:p>
    <w:p w:rsidR="000A40E6" w:rsidRPr="005B3897" w:rsidRDefault="000A40E6" w:rsidP="000A40E6">
      <w:pPr>
        <w:jc w:val="both"/>
        <w:rPr>
          <w:rFonts w:asciiTheme="minorHAnsi" w:hAnsiTheme="minorHAnsi" w:cstheme="minorHAnsi"/>
          <w:b/>
          <w:szCs w:val="16"/>
        </w:rPr>
      </w:pPr>
      <w:r w:rsidRPr="005B3897">
        <w:rPr>
          <w:rFonts w:asciiTheme="minorHAnsi" w:hAnsiTheme="minorHAnsi" w:cstheme="minorHAnsi"/>
          <w:b/>
          <w:szCs w:val="16"/>
        </w:rPr>
        <w:t>Texte applicables :</w:t>
      </w:r>
    </w:p>
    <w:p w:rsidR="000A40E6" w:rsidRPr="005B3897" w:rsidRDefault="000A40E6" w:rsidP="000A40E6">
      <w:pPr>
        <w:ind w:left="284"/>
        <w:jc w:val="both"/>
        <w:rPr>
          <w:rFonts w:asciiTheme="minorHAnsi" w:hAnsiTheme="minorHAnsi" w:cstheme="minorHAnsi"/>
          <w:b/>
          <w:i/>
          <w:szCs w:val="16"/>
        </w:rPr>
      </w:pPr>
      <w:r w:rsidRPr="005B3897">
        <w:rPr>
          <w:rFonts w:asciiTheme="minorHAnsi" w:hAnsiTheme="minorHAnsi" w:cstheme="minorHAnsi"/>
          <w:b/>
          <w:i/>
          <w:szCs w:val="16"/>
        </w:rPr>
        <w:t>Etat</w:t>
      </w:r>
    </w:p>
    <w:p w:rsidR="000A40E6" w:rsidRPr="005B3897" w:rsidRDefault="000A40E6" w:rsidP="000A40E6">
      <w:pPr>
        <w:jc w:val="both"/>
        <w:rPr>
          <w:rFonts w:asciiTheme="minorHAnsi" w:hAnsiTheme="minorHAnsi" w:cstheme="minorHAnsi"/>
          <w:szCs w:val="16"/>
        </w:rPr>
      </w:pPr>
      <w:r w:rsidRPr="005B3897">
        <w:rPr>
          <w:rFonts w:asciiTheme="minorHAnsi" w:hAnsiTheme="minorHAnsi" w:cstheme="minorHAnsi"/>
          <w:szCs w:val="16"/>
        </w:rPr>
        <w:t>-Arrêté du 2 mars 2009 relatif à la méthodologie applicable à l'évaluation préalable à la mise en œuvre d'une procédure de passation d'un contrat de partenariat</w:t>
      </w:r>
    </w:p>
    <w:p w:rsidR="005948A7" w:rsidRPr="005B3897" w:rsidRDefault="00304EBD" w:rsidP="000A40E6">
      <w:pPr>
        <w:jc w:val="both"/>
        <w:rPr>
          <w:rFonts w:asciiTheme="minorHAnsi" w:hAnsiTheme="minorHAnsi" w:cstheme="minorHAnsi"/>
          <w:b/>
          <w:i/>
          <w:szCs w:val="16"/>
        </w:rPr>
      </w:pPr>
      <w:r w:rsidRPr="005B3897">
        <w:rPr>
          <w:rFonts w:asciiTheme="minorHAnsi" w:hAnsiTheme="minorHAnsi" w:cstheme="minorHAnsi"/>
          <w:b/>
          <w:i/>
          <w:szCs w:val="16"/>
        </w:rPr>
        <w:t xml:space="preserve"> </w:t>
      </w:r>
    </w:p>
    <w:p w:rsidR="000A40E6" w:rsidRPr="005B3897" w:rsidRDefault="000A40E6" w:rsidP="000A40E6">
      <w:pPr>
        <w:ind w:left="284"/>
        <w:jc w:val="both"/>
        <w:rPr>
          <w:rFonts w:asciiTheme="minorHAnsi" w:hAnsiTheme="minorHAnsi" w:cstheme="minorHAnsi"/>
          <w:b/>
          <w:i/>
          <w:szCs w:val="16"/>
        </w:rPr>
      </w:pPr>
      <w:r w:rsidRPr="005B3897">
        <w:rPr>
          <w:rFonts w:asciiTheme="minorHAnsi" w:hAnsiTheme="minorHAnsi" w:cstheme="minorHAnsi"/>
          <w:b/>
          <w:i/>
          <w:szCs w:val="16"/>
        </w:rPr>
        <w:t xml:space="preserve">Collectivités territoriales </w:t>
      </w:r>
    </w:p>
    <w:p w:rsidR="000A40E6" w:rsidRPr="005B3897" w:rsidRDefault="000A40E6" w:rsidP="000A40E6">
      <w:pPr>
        <w:tabs>
          <w:tab w:val="left" w:pos="1273"/>
        </w:tabs>
        <w:jc w:val="both"/>
        <w:rPr>
          <w:rFonts w:asciiTheme="minorHAnsi" w:hAnsiTheme="minorHAnsi" w:cstheme="minorHAnsi"/>
          <w:szCs w:val="16"/>
        </w:rPr>
      </w:pPr>
      <w:r w:rsidRPr="005B3897">
        <w:rPr>
          <w:rFonts w:asciiTheme="minorHAnsi" w:hAnsiTheme="minorHAnsi" w:cstheme="minorHAnsi"/>
          <w:szCs w:val="16"/>
        </w:rPr>
        <w:t>-Articles L. 1414-1 à L. 1414-16 du code général des collectivités territoriales (CGCT)</w:t>
      </w:r>
    </w:p>
    <w:p w:rsidR="000A40E6" w:rsidRPr="005B3897" w:rsidRDefault="000A40E6" w:rsidP="000A40E6">
      <w:pPr>
        <w:tabs>
          <w:tab w:val="left" w:pos="1273"/>
        </w:tabs>
        <w:jc w:val="both"/>
        <w:rPr>
          <w:rFonts w:asciiTheme="minorHAnsi" w:hAnsiTheme="minorHAnsi" w:cstheme="minorHAnsi"/>
          <w:szCs w:val="16"/>
        </w:rPr>
      </w:pPr>
      <w:r w:rsidRPr="005B3897">
        <w:rPr>
          <w:rFonts w:asciiTheme="minorHAnsi" w:hAnsiTheme="minorHAnsi" w:cstheme="minorHAnsi"/>
          <w:szCs w:val="16"/>
        </w:rPr>
        <w:t>-Article R. 1414-8 du CGCT</w:t>
      </w:r>
    </w:p>
    <w:p w:rsidR="000A40E6" w:rsidRPr="005B3897" w:rsidRDefault="00304EBD" w:rsidP="000A40E6">
      <w:pPr>
        <w:tabs>
          <w:tab w:val="left" w:pos="1273"/>
        </w:tabs>
        <w:jc w:val="both"/>
        <w:rPr>
          <w:rFonts w:asciiTheme="minorHAnsi" w:hAnsiTheme="minorHAnsi" w:cstheme="minorHAnsi"/>
          <w:szCs w:val="16"/>
        </w:rPr>
      </w:pPr>
      <w:r>
        <w:rPr>
          <w:rFonts w:asciiTheme="minorHAnsi" w:hAnsiTheme="minorHAnsi" w:cstheme="minorHAnsi"/>
          <w:szCs w:val="16"/>
        </w:rPr>
        <w:t>-Articles D. 1414-1, D. 1414-2, et D. 1414-5</w:t>
      </w:r>
      <w:r w:rsidR="000A40E6" w:rsidRPr="005B3897">
        <w:rPr>
          <w:rFonts w:asciiTheme="minorHAnsi" w:hAnsiTheme="minorHAnsi" w:cstheme="minorHAnsi"/>
          <w:szCs w:val="16"/>
        </w:rPr>
        <w:t xml:space="preserve"> du CGCT</w:t>
      </w:r>
    </w:p>
    <w:p w:rsidR="00BC6263" w:rsidRPr="005B3897" w:rsidRDefault="000A40E6" w:rsidP="000A40E6">
      <w:pPr>
        <w:tabs>
          <w:tab w:val="left" w:pos="1273"/>
        </w:tabs>
        <w:jc w:val="both"/>
        <w:rPr>
          <w:rFonts w:asciiTheme="minorHAnsi" w:hAnsiTheme="minorHAnsi" w:cstheme="minorHAnsi"/>
          <w:szCs w:val="16"/>
        </w:rPr>
      </w:pPr>
      <w:r w:rsidRPr="005B3897">
        <w:rPr>
          <w:rFonts w:asciiTheme="minorHAnsi" w:hAnsiTheme="minorHAnsi" w:cstheme="minorHAnsi"/>
          <w:szCs w:val="16"/>
        </w:rPr>
        <w:t>-Circulaire du 9 mai 2012 relative aux contrats de partenariat à l'attention des collectivités territoriales</w:t>
      </w:r>
      <w:bookmarkStart w:id="0" w:name="_GoBack"/>
      <w:bookmarkEnd w:id="0"/>
    </w:p>
    <w:p w:rsidR="00BC6263" w:rsidRPr="005B3897" w:rsidRDefault="00BC6263" w:rsidP="00BC6263">
      <w:pPr>
        <w:tabs>
          <w:tab w:val="left" w:pos="1273"/>
        </w:tabs>
        <w:jc w:val="both"/>
        <w:rPr>
          <w:rFonts w:asciiTheme="minorHAnsi" w:hAnsiTheme="minorHAnsi" w:cstheme="minorHAnsi"/>
          <w:szCs w:val="16"/>
        </w:rPr>
      </w:pPr>
    </w:p>
    <w:p w:rsidR="00A05982" w:rsidRPr="005B3897" w:rsidRDefault="00A05982" w:rsidP="00E4547B">
      <w:pPr>
        <w:jc w:val="both"/>
        <w:rPr>
          <w:rFonts w:asciiTheme="minorHAnsi" w:hAnsiTheme="minorHAnsi" w:cstheme="minorHAnsi"/>
          <w:szCs w:val="16"/>
        </w:rPr>
      </w:pPr>
    </w:p>
    <w:p w:rsidR="00E4547B" w:rsidRPr="005B3897" w:rsidRDefault="00E4547B" w:rsidP="00E4547B">
      <w:pPr>
        <w:pBdr>
          <w:top w:val="single" w:sz="12" w:space="1" w:color="auto"/>
          <w:left w:val="single" w:sz="12" w:space="4" w:color="auto"/>
          <w:bottom w:val="single" w:sz="12" w:space="1" w:color="auto"/>
          <w:right w:val="single" w:sz="12" w:space="4" w:color="auto"/>
        </w:pBdr>
        <w:rPr>
          <w:rFonts w:asciiTheme="minorHAnsi" w:hAnsiTheme="minorHAnsi" w:cstheme="minorHAnsi"/>
          <w:szCs w:val="16"/>
        </w:rPr>
      </w:pPr>
      <w:r w:rsidRPr="005B3897">
        <w:rPr>
          <w:rFonts w:asciiTheme="minorHAnsi" w:hAnsiTheme="minorHAnsi" w:cstheme="minorHAnsi"/>
          <w:sz w:val="28"/>
          <w:szCs w:val="28"/>
        </w:rPr>
        <w:sym w:font="Wingdings" w:char="F0DC"/>
      </w:r>
      <w:r w:rsidRPr="005B3897">
        <w:rPr>
          <w:rFonts w:asciiTheme="minorHAnsi" w:hAnsiTheme="minorHAnsi" w:cstheme="minorHAnsi"/>
          <w:szCs w:val="16"/>
        </w:rPr>
        <w:t>A l’issue de la vérification du point 2.3 :</w:t>
      </w:r>
    </w:p>
    <w:p w:rsidR="00E4547B" w:rsidRPr="005B3897" w:rsidRDefault="00E4547B" w:rsidP="00E4547B">
      <w:pPr>
        <w:pBdr>
          <w:top w:val="single" w:sz="12" w:space="1" w:color="auto"/>
          <w:left w:val="single" w:sz="12" w:space="4" w:color="auto"/>
          <w:bottom w:val="single" w:sz="12" w:space="1" w:color="auto"/>
          <w:right w:val="single" w:sz="12" w:space="4" w:color="auto"/>
        </w:pBdr>
        <w:jc w:val="both"/>
        <w:rPr>
          <w:rFonts w:asciiTheme="minorHAnsi" w:hAnsiTheme="minorHAnsi" w:cstheme="minorHAnsi"/>
          <w:szCs w:val="16"/>
        </w:rPr>
      </w:pPr>
      <w:r w:rsidRPr="005B3897">
        <w:rPr>
          <w:rFonts w:asciiTheme="minorHAnsi" w:hAnsiTheme="minorHAnsi" w:cstheme="minorHAnsi"/>
          <w:szCs w:val="16"/>
        </w:rPr>
        <w:tab/>
        <w:t>-si aucun des contrats passés par le bénéficiaire pour la réalisation de l’opération n’entre dans le champ de la commande publique, il n’y a pas lieu de remplir la partie II de l’annexe, visant à vérifier la régularité des procédures de passation.</w:t>
      </w:r>
    </w:p>
    <w:p w:rsidR="00E4547B" w:rsidRDefault="00E4547B" w:rsidP="00E4547B">
      <w:pPr>
        <w:pBdr>
          <w:top w:val="single" w:sz="12" w:space="1" w:color="auto"/>
          <w:left w:val="single" w:sz="12" w:space="4" w:color="auto"/>
          <w:bottom w:val="single" w:sz="12" w:space="1" w:color="auto"/>
          <w:right w:val="single" w:sz="12" w:space="4" w:color="auto"/>
        </w:pBdr>
        <w:jc w:val="both"/>
        <w:rPr>
          <w:rFonts w:asciiTheme="minorHAnsi" w:hAnsiTheme="minorHAnsi" w:cstheme="minorHAnsi"/>
          <w:szCs w:val="16"/>
        </w:rPr>
      </w:pPr>
      <w:r w:rsidRPr="005B3897">
        <w:rPr>
          <w:rFonts w:asciiTheme="minorHAnsi" w:hAnsiTheme="minorHAnsi" w:cstheme="minorHAnsi"/>
          <w:szCs w:val="16"/>
        </w:rPr>
        <w:tab/>
        <w:t>-si un contrat permettant la mise en œuvre de l’opération, autre qu’un marché public, est un contrat passé pour répondre à une commande publique soumis à des dispositions spécifiques, il convient de remplir le point II-B de l’annexe.</w:t>
      </w:r>
    </w:p>
    <w:p w:rsidR="00B00DE6" w:rsidRDefault="00B00DE6" w:rsidP="00E4547B">
      <w:pPr>
        <w:pBdr>
          <w:top w:val="single" w:sz="12" w:space="1" w:color="auto"/>
          <w:left w:val="single" w:sz="12" w:space="4" w:color="auto"/>
          <w:bottom w:val="single" w:sz="12" w:space="1" w:color="auto"/>
          <w:right w:val="single" w:sz="12" w:space="4" w:color="auto"/>
        </w:pBdr>
        <w:jc w:val="both"/>
        <w:rPr>
          <w:rFonts w:asciiTheme="minorHAnsi" w:hAnsiTheme="minorHAnsi" w:cstheme="minorHAnsi"/>
          <w:szCs w:val="16"/>
        </w:rPr>
      </w:pPr>
    </w:p>
    <w:p w:rsidR="00B00DE6" w:rsidRDefault="00B00DE6" w:rsidP="00B00DE6">
      <w:pPr>
        <w:pBdr>
          <w:top w:val="single" w:sz="12" w:space="1" w:color="auto"/>
          <w:left w:val="single" w:sz="12" w:space="4" w:color="auto"/>
          <w:bottom w:val="single" w:sz="12" w:space="1" w:color="auto"/>
          <w:right w:val="single" w:sz="12" w:space="4" w:color="auto"/>
        </w:pBdr>
        <w:rPr>
          <w:rFonts w:asciiTheme="minorHAnsi" w:hAnsiTheme="minorHAnsi" w:cstheme="minorHAnsi"/>
          <w:szCs w:val="16"/>
        </w:rPr>
      </w:pPr>
      <w:r>
        <w:rPr>
          <w:rFonts w:asciiTheme="minorHAnsi" w:hAnsiTheme="minorHAnsi" w:cstheme="minorHAnsi"/>
          <w:szCs w:val="16"/>
        </w:rPr>
        <w:t xml:space="preserve">Fiche DAJ : </w:t>
      </w:r>
      <w:hyperlink r:id="rId24" w:history="1">
        <w:r w:rsidRPr="008A08E3">
          <w:rPr>
            <w:rStyle w:val="Lienhypertexte"/>
            <w:rFonts w:asciiTheme="minorHAnsi" w:hAnsiTheme="minorHAnsi" w:cstheme="minorHAnsi"/>
            <w:szCs w:val="16"/>
          </w:rPr>
          <w:t>https://www.economie.gouv.fr/files/files/directions_services/daj/marches_publics/conseil_acheteurs/fiches-techniques/marches-partenariat/marches-partenariat.pdf</w:t>
        </w:r>
      </w:hyperlink>
    </w:p>
    <w:p w:rsidR="00B00DE6" w:rsidRPr="005B3897" w:rsidRDefault="00B00DE6" w:rsidP="00E4547B">
      <w:pPr>
        <w:pBdr>
          <w:top w:val="single" w:sz="12" w:space="1" w:color="auto"/>
          <w:left w:val="single" w:sz="12" w:space="4" w:color="auto"/>
          <w:bottom w:val="single" w:sz="12" w:space="1" w:color="auto"/>
          <w:right w:val="single" w:sz="12" w:space="4" w:color="auto"/>
        </w:pBdr>
        <w:jc w:val="both"/>
        <w:rPr>
          <w:rFonts w:asciiTheme="minorHAnsi" w:hAnsiTheme="minorHAnsi" w:cstheme="minorHAnsi"/>
          <w:szCs w:val="16"/>
        </w:rPr>
      </w:pPr>
    </w:p>
    <w:p w:rsidR="00E4547B" w:rsidRPr="005B3897" w:rsidRDefault="00E4547B" w:rsidP="00BF2D9F">
      <w:pPr>
        <w:jc w:val="both"/>
        <w:rPr>
          <w:rFonts w:asciiTheme="minorHAnsi" w:hAnsiTheme="minorHAnsi" w:cstheme="minorHAnsi"/>
          <w:szCs w:val="16"/>
        </w:rPr>
      </w:pPr>
    </w:p>
    <w:p w:rsidR="00E4547B" w:rsidRPr="005B3897" w:rsidRDefault="00E4547B" w:rsidP="00BF2D9F">
      <w:pPr>
        <w:jc w:val="both"/>
        <w:rPr>
          <w:rFonts w:asciiTheme="minorHAnsi" w:hAnsiTheme="minorHAnsi" w:cstheme="minorHAnsi"/>
          <w:szCs w:val="16"/>
        </w:rPr>
      </w:pPr>
    </w:p>
    <w:p w:rsidR="006401F6" w:rsidRPr="001E280C" w:rsidRDefault="006401F6" w:rsidP="006401F6">
      <w:pPr>
        <w:shd w:val="clear" w:color="auto" w:fill="DAEEF3" w:themeFill="accent5" w:themeFillTint="33"/>
        <w:rPr>
          <w:rFonts w:asciiTheme="minorHAnsi" w:hAnsiTheme="minorHAnsi" w:cstheme="minorHAnsi"/>
          <w:b/>
          <w:smallCaps/>
          <w:sz w:val="24"/>
          <w:szCs w:val="16"/>
        </w:rPr>
        <w:sectPr w:rsidR="006401F6" w:rsidRPr="001E280C" w:rsidSect="00086CD1">
          <w:footerReference w:type="default" r:id="rId25"/>
          <w:pgSz w:w="11906" w:h="16838"/>
          <w:pgMar w:top="993" w:right="1417" w:bottom="1276" w:left="1417" w:header="708" w:footer="284" w:gutter="0"/>
          <w:cols w:space="708"/>
          <w:docGrid w:linePitch="360"/>
        </w:sectPr>
      </w:pPr>
    </w:p>
    <w:p w:rsidR="0069769B" w:rsidRPr="001E280C" w:rsidRDefault="006401F6" w:rsidP="006401F6">
      <w:pPr>
        <w:shd w:val="clear" w:color="auto" w:fill="DAEEF3" w:themeFill="accent5" w:themeFillTint="33"/>
        <w:rPr>
          <w:rFonts w:asciiTheme="minorHAnsi" w:hAnsiTheme="minorHAnsi" w:cstheme="minorHAnsi"/>
          <w:b/>
          <w:smallCaps/>
          <w:sz w:val="24"/>
          <w:szCs w:val="16"/>
        </w:rPr>
      </w:pPr>
      <w:r w:rsidRPr="001E280C">
        <w:rPr>
          <w:rFonts w:asciiTheme="minorHAnsi" w:hAnsiTheme="minorHAnsi" w:cstheme="minorHAnsi"/>
          <w:b/>
          <w:smallCaps/>
          <w:sz w:val="24"/>
          <w:szCs w:val="16"/>
        </w:rPr>
        <w:t>II - POINTS DE CONTROLE REQUIS</w:t>
      </w:r>
    </w:p>
    <w:p w:rsidR="00CC62FF" w:rsidRPr="001E280C" w:rsidRDefault="00CC62FF" w:rsidP="0050514E">
      <w:pPr>
        <w:rPr>
          <w:rFonts w:asciiTheme="minorHAnsi" w:hAnsiTheme="minorHAnsi" w:cstheme="minorHAnsi"/>
          <w:szCs w:val="16"/>
        </w:rPr>
      </w:pPr>
    </w:p>
    <w:p w:rsidR="0050514E" w:rsidRPr="001E280C" w:rsidRDefault="0050514E" w:rsidP="0050514E">
      <w:pPr>
        <w:numPr>
          <w:ilvl w:val="0"/>
          <w:numId w:val="24"/>
        </w:numPr>
        <w:jc w:val="both"/>
        <w:rPr>
          <w:rFonts w:asciiTheme="minorHAnsi" w:hAnsiTheme="minorHAnsi" w:cs="Calibri"/>
          <w:b/>
          <w:i/>
          <w:iCs/>
          <w:color w:val="0070C0"/>
          <w:sz w:val="28"/>
          <w:szCs w:val="28"/>
          <w:u w:val="single"/>
        </w:rPr>
      </w:pPr>
      <w:r w:rsidRPr="001E280C">
        <w:rPr>
          <w:rFonts w:asciiTheme="minorHAnsi" w:hAnsiTheme="minorHAnsi" w:cs="Calibri"/>
          <w:b/>
          <w:i/>
          <w:iCs/>
          <w:color w:val="0070C0"/>
          <w:sz w:val="28"/>
          <w:szCs w:val="28"/>
          <w:u w:val="single"/>
        </w:rPr>
        <w:t>Marchés publics</w:t>
      </w:r>
    </w:p>
    <w:p w:rsidR="009D1D7C" w:rsidRPr="001E280C" w:rsidRDefault="009D1D7C" w:rsidP="00CC62FF">
      <w:pPr>
        <w:rPr>
          <w:rFonts w:asciiTheme="minorHAnsi" w:hAnsiTheme="minorHAnsi" w:cstheme="minorHAnsi"/>
          <w:szCs w:val="16"/>
        </w:rPr>
      </w:pPr>
    </w:p>
    <w:p w:rsidR="00F512B1" w:rsidRPr="001E280C" w:rsidRDefault="00F512B1" w:rsidP="00DE5B0B">
      <w:pPr>
        <w:rPr>
          <w:rFonts w:asciiTheme="minorHAnsi" w:hAnsiTheme="minorHAnsi" w:cstheme="minorHAnsi"/>
        </w:rPr>
      </w:pPr>
    </w:p>
    <w:tbl>
      <w:tblPr>
        <w:tblW w:w="9957" w:type="dxa"/>
        <w:tblInd w:w="55"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D9D9D9"/>
        <w:tblLayout w:type="fixed"/>
        <w:tblCellMar>
          <w:left w:w="70" w:type="dxa"/>
          <w:right w:w="70" w:type="dxa"/>
        </w:tblCellMar>
        <w:tblLook w:val="04A0" w:firstRow="1" w:lastRow="0" w:firstColumn="1" w:lastColumn="0" w:noHBand="0" w:noVBand="1"/>
      </w:tblPr>
      <w:tblGrid>
        <w:gridCol w:w="3134"/>
        <w:gridCol w:w="6823"/>
      </w:tblGrid>
      <w:tr w:rsidR="00A93202" w:rsidRPr="001E280C" w:rsidTr="00A86ECC">
        <w:trPr>
          <w:trHeight w:val="300"/>
        </w:trPr>
        <w:tc>
          <w:tcPr>
            <w:tcW w:w="9957" w:type="dxa"/>
            <w:gridSpan w:val="2"/>
            <w:tcBorders>
              <w:bottom w:val="single" w:sz="4" w:space="0" w:color="auto"/>
            </w:tcBorders>
            <w:shd w:val="clear" w:color="auto" w:fill="C2D69B"/>
            <w:vAlign w:val="center"/>
          </w:tcPr>
          <w:p w:rsidR="00A93202" w:rsidRPr="001E280C" w:rsidRDefault="00A93202" w:rsidP="006A5B16">
            <w:pPr>
              <w:jc w:val="center"/>
              <w:rPr>
                <w:rFonts w:asciiTheme="minorHAnsi" w:hAnsiTheme="minorHAnsi" w:cs="Calibri"/>
                <w:b/>
                <w:sz w:val="24"/>
                <w:szCs w:val="24"/>
              </w:rPr>
            </w:pPr>
            <w:r w:rsidRPr="001E280C">
              <w:rPr>
                <w:rFonts w:asciiTheme="minorHAnsi" w:hAnsiTheme="minorHAnsi" w:cs="Calibri"/>
                <w:b/>
                <w:sz w:val="24"/>
                <w:szCs w:val="24"/>
              </w:rPr>
              <w:t>IDENTIFICATION DU MARCHE</w:t>
            </w:r>
          </w:p>
        </w:tc>
      </w:tr>
      <w:tr w:rsidR="00A93202" w:rsidRPr="001E280C" w:rsidTr="00A86ECC">
        <w:trPr>
          <w:trHeight w:val="77"/>
        </w:trPr>
        <w:tc>
          <w:tcPr>
            <w:tcW w:w="9957" w:type="dxa"/>
            <w:gridSpan w:val="2"/>
            <w:tcBorders>
              <w:left w:val="nil"/>
              <w:bottom w:val="single" w:sz="4" w:space="0" w:color="auto"/>
              <w:right w:val="nil"/>
            </w:tcBorders>
            <w:shd w:val="clear" w:color="auto" w:fill="auto"/>
            <w:vAlign w:val="center"/>
          </w:tcPr>
          <w:p w:rsidR="00A93202" w:rsidRPr="001E280C" w:rsidRDefault="00A93202" w:rsidP="006A5B16">
            <w:pPr>
              <w:rPr>
                <w:rFonts w:asciiTheme="minorHAnsi" w:hAnsiTheme="minorHAnsi" w:cs="Calibri"/>
                <w:b/>
                <w:sz w:val="8"/>
                <w:szCs w:val="8"/>
              </w:rPr>
            </w:pPr>
          </w:p>
        </w:tc>
      </w:tr>
      <w:tr w:rsidR="00A93202" w:rsidRPr="001E280C" w:rsidTr="00A86ECC">
        <w:trPr>
          <w:trHeight w:val="300"/>
        </w:trPr>
        <w:tc>
          <w:tcPr>
            <w:tcW w:w="3134" w:type="dxa"/>
            <w:shd w:val="clear" w:color="auto" w:fill="auto"/>
            <w:vAlign w:val="center"/>
            <w:hideMark/>
          </w:tcPr>
          <w:p w:rsidR="00A93202" w:rsidRPr="001E280C" w:rsidRDefault="00A93202" w:rsidP="006A5B16">
            <w:pPr>
              <w:rPr>
                <w:rFonts w:asciiTheme="minorHAnsi" w:hAnsiTheme="minorHAnsi" w:cs="Calibri"/>
                <w:color w:val="000000"/>
                <w:sz w:val="22"/>
                <w:szCs w:val="22"/>
              </w:rPr>
            </w:pPr>
            <w:r w:rsidRPr="001E280C">
              <w:rPr>
                <w:rFonts w:asciiTheme="minorHAnsi" w:hAnsiTheme="minorHAnsi" w:cs="Calibri"/>
                <w:color w:val="000000"/>
                <w:sz w:val="22"/>
                <w:szCs w:val="22"/>
              </w:rPr>
              <w:t xml:space="preserve">Intitulé du marché </w:t>
            </w:r>
          </w:p>
        </w:tc>
        <w:tc>
          <w:tcPr>
            <w:tcW w:w="6823" w:type="dxa"/>
            <w:shd w:val="clear" w:color="auto" w:fill="auto"/>
            <w:vAlign w:val="center"/>
            <w:hideMark/>
          </w:tcPr>
          <w:p w:rsidR="00A93202" w:rsidRPr="001E280C" w:rsidRDefault="00A93202" w:rsidP="00151372">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A93202" w:rsidRPr="001E280C" w:rsidTr="00A86ECC">
        <w:trPr>
          <w:trHeight w:val="600"/>
        </w:trPr>
        <w:tc>
          <w:tcPr>
            <w:tcW w:w="3134" w:type="dxa"/>
            <w:shd w:val="clear" w:color="auto" w:fill="auto"/>
            <w:vAlign w:val="center"/>
            <w:hideMark/>
          </w:tcPr>
          <w:p w:rsidR="00A93202" w:rsidRPr="001E280C" w:rsidRDefault="00A93202" w:rsidP="006A5B16">
            <w:pPr>
              <w:rPr>
                <w:rFonts w:asciiTheme="minorHAnsi" w:hAnsiTheme="minorHAnsi" w:cs="Calibri"/>
                <w:color w:val="000000"/>
                <w:sz w:val="22"/>
                <w:szCs w:val="22"/>
              </w:rPr>
            </w:pPr>
            <w:r w:rsidRPr="001E280C">
              <w:rPr>
                <w:rFonts w:asciiTheme="minorHAnsi" w:hAnsiTheme="minorHAnsi" w:cs="Calibri"/>
                <w:color w:val="000000"/>
                <w:sz w:val="22"/>
                <w:szCs w:val="22"/>
              </w:rPr>
              <w:t>Type de marché (travaux, fourniture/services)</w:t>
            </w:r>
          </w:p>
        </w:tc>
        <w:tc>
          <w:tcPr>
            <w:tcW w:w="6823" w:type="dxa"/>
            <w:shd w:val="clear" w:color="auto" w:fill="auto"/>
            <w:vAlign w:val="center"/>
            <w:hideMark/>
          </w:tcPr>
          <w:p w:rsidR="00A93202" w:rsidRPr="001E280C" w:rsidRDefault="00A93202" w:rsidP="00151372">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A93202" w:rsidRPr="001E280C" w:rsidTr="00A86ECC">
        <w:trPr>
          <w:trHeight w:val="600"/>
        </w:trPr>
        <w:tc>
          <w:tcPr>
            <w:tcW w:w="3134" w:type="dxa"/>
            <w:shd w:val="clear" w:color="auto" w:fill="auto"/>
            <w:vAlign w:val="center"/>
          </w:tcPr>
          <w:p w:rsidR="00A93202" w:rsidRPr="001E280C" w:rsidRDefault="00A93202" w:rsidP="006A5B16">
            <w:pPr>
              <w:rPr>
                <w:rFonts w:asciiTheme="minorHAnsi" w:hAnsiTheme="minorHAnsi" w:cs="Calibri"/>
                <w:color w:val="000000"/>
                <w:sz w:val="22"/>
                <w:szCs w:val="22"/>
              </w:rPr>
            </w:pPr>
            <w:r w:rsidRPr="001E280C">
              <w:rPr>
                <w:rFonts w:asciiTheme="minorHAnsi" w:hAnsiTheme="minorHAnsi" w:cs="Calibri"/>
                <w:color w:val="000000"/>
                <w:sz w:val="22"/>
                <w:szCs w:val="22"/>
              </w:rPr>
              <w:t>Si marché alloti, nombre de lots</w:t>
            </w:r>
            <w:r w:rsidR="00B00DE6">
              <w:rPr>
                <w:rFonts w:asciiTheme="minorHAnsi" w:hAnsiTheme="minorHAnsi" w:cs="Calibri"/>
                <w:color w:val="000000"/>
                <w:sz w:val="22"/>
                <w:szCs w:val="22"/>
              </w:rPr>
              <w:t xml:space="preserve"> </w:t>
            </w:r>
            <w:r w:rsidR="00B00DE6">
              <w:rPr>
                <w:rFonts w:ascii="Calibri" w:hAnsi="Calibri" w:cs="Calibri"/>
                <w:color w:val="000000"/>
                <w:sz w:val="22"/>
              </w:rPr>
              <w:t>et si marché non alloti expliquer pourquoi</w:t>
            </w:r>
          </w:p>
        </w:tc>
        <w:tc>
          <w:tcPr>
            <w:tcW w:w="6823" w:type="dxa"/>
            <w:shd w:val="clear" w:color="auto" w:fill="auto"/>
            <w:vAlign w:val="center"/>
          </w:tcPr>
          <w:p w:rsidR="00A93202" w:rsidRPr="001E280C" w:rsidRDefault="00387256" w:rsidP="00151372">
            <w:pPr>
              <w:rPr>
                <w:rFonts w:asciiTheme="minorHAnsi" w:hAnsiTheme="minorHAnsi" w:cs="Calibri"/>
                <w:color w:val="000000"/>
                <w:sz w:val="22"/>
                <w:szCs w:val="22"/>
              </w:rPr>
            </w:pPr>
            <w:r w:rsidRPr="001E280C">
              <w:rPr>
                <w:rFonts w:asciiTheme="minorHAnsi" w:hAnsiTheme="minorHAnsi" w:cs="Calibri"/>
                <w:color w:val="000000"/>
                <w:sz w:val="22"/>
                <w:szCs w:val="22"/>
              </w:rPr>
              <w:t>Si le marché comporte plusieurs lots, il convient d’analyser chacun des lots selon les grilles ci-dessous.</w:t>
            </w:r>
          </w:p>
        </w:tc>
      </w:tr>
      <w:tr w:rsidR="00A93202" w:rsidRPr="001E280C" w:rsidTr="00A86ECC">
        <w:trPr>
          <w:trHeight w:val="600"/>
        </w:trPr>
        <w:tc>
          <w:tcPr>
            <w:tcW w:w="3134" w:type="dxa"/>
            <w:shd w:val="clear" w:color="auto" w:fill="auto"/>
            <w:vAlign w:val="center"/>
          </w:tcPr>
          <w:p w:rsidR="00A93202" w:rsidRPr="001E280C" w:rsidRDefault="00A93202" w:rsidP="006A5B16">
            <w:pPr>
              <w:rPr>
                <w:rFonts w:asciiTheme="minorHAnsi" w:hAnsiTheme="minorHAnsi" w:cs="Calibri"/>
                <w:color w:val="000000"/>
                <w:sz w:val="22"/>
                <w:szCs w:val="22"/>
              </w:rPr>
            </w:pPr>
            <w:r w:rsidRPr="001E280C">
              <w:rPr>
                <w:rFonts w:asciiTheme="minorHAnsi" w:hAnsiTheme="minorHAnsi" w:cs="Calibri"/>
                <w:color w:val="000000"/>
                <w:sz w:val="22"/>
                <w:szCs w:val="22"/>
              </w:rPr>
              <w:t>Titulaire</w:t>
            </w:r>
            <w:r w:rsidR="00C30FEB" w:rsidRPr="001E280C">
              <w:rPr>
                <w:rFonts w:asciiTheme="minorHAnsi" w:hAnsiTheme="minorHAnsi" w:cs="Calibri"/>
                <w:color w:val="000000"/>
                <w:sz w:val="22"/>
                <w:szCs w:val="22"/>
              </w:rPr>
              <w:t>(s)</w:t>
            </w:r>
            <w:r w:rsidRPr="001E280C">
              <w:rPr>
                <w:rFonts w:asciiTheme="minorHAnsi" w:hAnsiTheme="minorHAnsi" w:cs="Calibri"/>
                <w:color w:val="000000"/>
                <w:sz w:val="22"/>
                <w:szCs w:val="22"/>
              </w:rPr>
              <w:t xml:space="preserve"> du marché</w:t>
            </w:r>
          </w:p>
        </w:tc>
        <w:tc>
          <w:tcPr>
            <w:tcW w:w="6823" w:type="dxa"/>
            <w:shd w:val="clear" w:color="auto" w:fill="auto"/>
            <w:vAlign w:val="center"/>
          </w:tcPr>
          <w:p w:rsidR="00A93202" w:rsidRPr="001E280C" w:rsidRDefault="00A93202" w:rsidP="00151372">
            <w:pPr>
              <w:rPr>
                <w:rFonts w:asciiTheme="minorHAnsi" w:hAnsiTheme="minorHAnsi" w:cs="Calibri"/>
                <w:color w:val="000000"/>
                <w:sz w:val="22"/>
                <w:szCs w:val="22"/>
              </w:rPr>
            </w:pPr>
          </w:p>
        </w:tc>
      </w:tr>
      <w:tr w:rsidR="00A93202" w:rsidRPr="001E280C" w:rsidTr="00A86ECC">
        <w:trPr>
          <w:trHeight w:val="600"/>
        </w:trPr>
        <w:tc>
          <w:tcPr>
            <w:tcW w:w="3134" w:type="dxa"/>
            <w:shd w:val="clear" w:color="auto" w:fill="auto"/>
            <w:vAlign w:val="center"/>
          </w:tcPr>
          <w:p w:rsidR="00A93202" w:rsidRPr="001E280C" w:rsidRDefault="00A93202" w:rsidP="006A5B16">
            <w:pPr>
              <w:rPr>
                <w:rFonts w:asciiTheme="minorHAnsi" w:hAnsiTheme="minorHAnsi" w:cs="Calibri"/>
                <w:color w:val="000000"/>
                <w:sz w:val="22"/>
                <w:szCs w:val="22"/>
              </w:rPr>
            </w:pPr>
            <w:r w:rsidRPr="001E280C">
              <w:rPr>
                <w:rFonts w:asciiTheme="minorHAnsi" w:hAnsiTheme="minorHAnsi" w:cs="Calibri"/>
                <w:color w:val="000000"/>
                <w:sz w:val="22"/>
                <w:szCs w:val="22"/>
              </w:rPr>
              <w:t>Montant total du marché (HT)</w:t>
            </w:r>
          </w:p>
        </w:tc>
        <w:tc>
          <w:tcPr>
            <w:tcW w:w="6823" w:type="dxa"/>
            <w:shd w:val="clear" w:color="auto" w:fill="auto"/>
            <w:vAlign w:val="center"/>
          </w:tcPr>
          <w:p w:rsidR="00C30FEB" w:rsidRPr="001E280C" w:rsidRDefault="00C30FEB" w:rsidP="00151372">
            <w:pPr>
              <w:rPr>
                <w:rFonts w:asciiTheme="minorHAnsi" w:hAnsiTheme="minorHAnsi" w:cs="Calibri"/>
                <w:color w:val="000000"/>
                <w:sz w:val="22"/>
                <w:szCs w:val="22"/>
              </w:rPr>
            </w:pPr>
          </w:p>
        </w:tc>
      </w:tr>
      <w:tr w:rsidR="00A93202" w:rsidRPr="001E280C" w:rsidTr="00A86ECC">
        <w:trPr>
          <w:trHeight w:val="600"/>
        </w:trPr>
        <w:tc>
          <w:tcPr>
            <w:tcW w:w="3134" w:type="dxa"/>
            <w:shd w:val="clear" w:color="auto" w:fill="auto"/>
            <w:vAlign w:val="center"/>
          </w:tcPr>
          <w:p w:rsidR="00A93202" w:rsidRPr="001E280C" w:rsidRDefault="00A93202" w:rsidP="006A5B16">
            <w:pPr>
              <w:rPr>
                <w:rFonts w:asciiTheme="minorHAnsi" w:hAnsiTheme="minorHAnsi" w:cs="Calibri"/>
                <w:color w:val="000000"/>
                <w:sz w:val="22"/>
                <w:szCs w:val="22"/>
              </w:rPr>
            </w:pPr>
            <w:r w:rsidRPr="001E280C">
              <w:rPr>
                <w:rFonts w:asciiTheme="minorHAnsi" w:hAnsiTheme="minorHAnsi" w:cs="Calibri"/>
                <w:color w:val="000000"/>
                <w:sz w:val="22"/>
                <w:szCs w:val="22"/>
              </w:rPr>
              <w:t>Seuil applicable</w:t>
            </w:r>
          </w:p>
        </w:tc>
        <w:tc>
          <w:tcPr>
            <w:tcW w:w="6823" w:type="dxa"/>
            <w:shd w:val="clear" w:color="auto" w:fill="auto"/>
            <w:vAlign w:val="center"/>
          </w:tcPr>
          <w:p w:rsidR="00A93202" w:rsidRPr="001E280C" w:rsidRDefault="00A93202" w:rsidP="00151372">
            <w:pPr>
              <w:rPr>
                <w:rFonts w:asciiTheme="minorHAnsi" w:hAnsiTheme="minorHAnsi" w:cs="Calibri"/>
                <w:color w:val="000000"/>
                <w:sz w:val="22"/>
                <w:szCs w:val="22"/>
              </w:rPr>
            </w:pPr>
          </w:p>
        </w:tc>
      </w:tr>
      <w:tr w:rsidR="00A93202" w:rsidRPr="001E280C" w:rsidTr="00A86ECC">
        <w:trPr>
          <w:trHeight w:val="600"/>
        </w:trPr>
        <w:tc>
          <w:tcPr>
            <w:tcW w:w="3134" w:type="dxa"/>
            <w:shd w:val="clear" w:color="auto" w:fill="auto"/>
            <w:vAlign w:val="center"/>
          </w:tcPr>
          <w:p w:rsidR="00A93202" w:rsidRPr="001E280C" w:rsidRDefault="00A93202" w:rsidP="006A5B16">
            <w:pPr>
              <w:rPr>
                <w:rFonts w:asciiTheme="minorHAnsi" w:hAnsiTheme="minorHAnsi" w:cs="Calibri"/>
                <w:color w:val="000000"/>
                <w:sz w:val="22"/>
                <w:szCs w:val="22"/>
              </w:rPr>
            </w:pPr>
            <w:r w:rsidRPr="001E280C">
              <w:rPr>
                <w:rFonts w:asciiTheme="minorHAnsi" w:hAnsiTheme="minorHAnsi" w:cs="Calibri"/>
                <w:color w:val="000000"/>
                <w:sz w:val="22"/>
                <w:szCs w:val="22"/>
              </w:rPr>
              <w:t>Si le montant du marché est inférieur aux seuils des directives européennes, présente-t-il un intérêt transfrontalier certain ?</w:t>
            </w:r>
          </w:p>
        </w:tc>
        <w:tc>
          <w:tcPr>
            <w:tcW w:w="6823" w:type="dxa"/>
            <w:shd w:val="clear" w:color="auto" w:fill="auto"/>
            <w:vAlign w:val="center"/>
          </w:tcPr>
          <w:p w:rsidR="007D19B1" w:rsidRPr="001E280C" w:rsidRDefault="007D19B1" w:rsidP="00151372">
            <w:pPr>
              <w:rPr>
                <w:rFonts w:asciiTheme="minorHAnsi" w:hAnsiTheme="minorHAnsi" w:cs="Calibri"/>
                <w:i/>
                <w:color w:val="31849B" w:themeColor="accent5" w:themeShade="BF"/>
                <w:sz w:val="24"/>
                <w:szCs w:val="24"/>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4"/>
                <w:szCs w:val="24"/>
              </w:rPr>
              <w:t xml:space="preserve"> -</w:t>
            </w:r>
            <w:r w:rsidRPr="001E280C">
              <w:rPr>
                <w:rFonts w:asciiTheme="minorHAnsi" w:hAnsiTheme="minorHAnsi" w:cs="Calibri"/>
                <w:i/>
                <w:color w:val="31849B" w:themeColor="accent5" w:themeShade="BF"/>
                <w:sz w:val="22"/>
                <w:szCs w:val="22"/>
              </w:rPr>
              <w:t>P</w:t>
            </w:r>
            <w:r w:rsidR="00B7167C" w:rsidRPr="001E280C">
              <w:rPr>
                <w:rFonts w:asciiTheme="minorHAnsi" w:hAnsiTheme="minorHAnsi" w:cs="Calibri"/>
                <w:i/>
                <w:color w:val="31849B" w:themeColor="accent5" w:themeShade="BF"/>
                <w:sz w:val="22"/>
                <w:szCs w:val="22"/>
              </w:rPr>
              <w:t>oint 1.2.2 de la décision de la Commission du 19 décembre 2013 relative à l'établissement et à l’approbation des orientations pour la détermination des corrections financières à appliquer par la Commission aux dépenses financées par l’Union dans le cadre de la gestion partagée en cas de non-respect des règle</w:t>
            </w:r>
            <w:r w:rsidR="00A86ECC" w:rsidRPr="001E280C">
              <w:rPr>
                <w:rFonts w:asciiTheme="minorHAnsi" w:hAnsiTheme="minorHAnsi" w:cs="Calibri"/>
                <w:i/>
                <w:color w:val="31849B" w:themeColor="accent5" w:themeShade="BF"/>
                <w:sz w:val="22"/>
                <w:szCs w:val="22"/>
              </w:rPr>
              <w:t>s en matière de marchés publics :</w:t>
            </w:r>
          </w:p>
          <w:p w:rsidR="00A86ECC" w:rsidRDefault="00B227C8" w:rsidP="00151372">
            <w:pPr>
              <w:rPr>
                <w:rStyle w:val="Lienhypertexte"/>
                <w:rFonts w:asciiTheme="minorHAnsi" w:hAnsiTheme="minorHAnsi" w:cs="Calibri"/>
                <w:i/>
                <w:color w:val="31849B" w:themeColor="accent5" w:themeShade="BF"/>
                <w:sz w:val="22"/>
                <w:szCs w:val="22"/>
              </w:rPr>
            </w:pPr>
            <w:hyperlink r:id="rId26" w:history="1">
              <w:r w:rsidR="00A86ECC" w:rsidRPr="001E280C">
                <w:rPr>
                  <w:rStyle w:val="Lienhypertexte"/>
                  <w:rFonts w:asciiTheme="minorHAnsi" w:hAnsiTheme="minorHAnsi" w:cs="Calibri"/>
                  <w:i/>
                  <w:color w:val="31849B" w:themeColor="accent5" w:themeShade="BF"/>
                  <w:sz w:val="22"/>
                  <w:szCs w:val="22"/>
                </w:rPr>
                <w:t>http://ec.europa.eu/regional_policy/sources/docoffic/cocof/2013/cocof_13_9527_fr.pdf</w:t>
              </w:r>
            </w:hyperlink>
          </w:p>
          <w:p w:rsidR="00511113" w:rsidRPr="001E280C" w:rsidRDefault="00511113" w:rsidP="00151372">
            <w:pPr>
              <w:rPr>
                <w:rFonts w:asciiTheme="minorHAnsi" w:hAnsiTheme="minorHAnsi"/>
                <w:i/>
                <w:color w:val="31849B" w:themeColor="accent5" w:themeShade="BF"/>
                <w:u w:val="single"/>
              </w:rPr>
            </w:pPr>
          </w:p>
          <w:p w:rsidR="007D19B1" w:rsidRPr="001E280C" w:rsidRDefault="007D19B1" w:rsidP="00151372">
            <w:pPr>
              <w:rPr>
                <w:rFonts w:asciiTheme="minorHAnsi" w:hAnsiTheme="minorHAnsi" w:cs="Calibri"/>
                <w:color w:val="000000"/>
                <w:sz w:val="22"/>
                <w:szCs w:val="22"/>
              </w:rPr>
            </w:pPr>
            <w:r w:rsidRPr="001E280C">
              <w:rPr>
                <w:rFonts w:asciiTheme="minorHAnsi" w:hAnsiTheme="minorHAnsi" w:cs="Calibri"/>
                <w:i/>
                <w:color w:val="31849B" w:themeColor="accent5" w:themeShade="BF"/>
                <w:sz w:val="22"/>
                <w:szCs w:val="22"/>
              </w:rPr>
              <w:t>-Fiche technique relative à l’intérêt transfrontalier certain éditée par la DAJ :</w:t>
            </w:r>
          </w:p>
          <w:p w:rsidR="007D19B1" w:rsidRDefault="00B227C8" w:rsidP="00151372">
            <w:pPr>
              <w:rPr>
                <w:rStyle w:val="Lienhypertexte"/>
                <w:rFonts w:asciiTheme="minorHAnsi" w:hAnsiTheme="minorHAnsi" w:cs="Calibri"/>
                <w:i/>
                <w:color w:val="31849B" w:themeColor="accent5" w:themeShade="BF"/>
                <w:sz w:val="22"/>
                <w:szCs w:val="22"/>
              </w:rPr>
            </w:pPr>
            <w:hyperlink r:id="rId27" w:history="1">
              <w:r w:rsidR="00511113" w:rsidRPr="008A08E3">
                <w:rPr>
                  <w:rStyle w:val="Lienhypertexte"/>
                  <w:rFonts w:asciiTheme="minorHAnsi" w:hAnsiTheme="minorHAnsi" w:cs="Calibri"/>
                  <w:i/>
                  <w:sz w:val="22"/>
                  <w:szCs w:val="22"/>
                </w:rPr>
                <w:t>https://www.economie.gouv.fr/files/files/directions_services/daj/marches_publics/conseil_acheteurs/fiches-techniques/mise-en-oeuvre-procedure/interet-transfrontalier-certain-2017.pdf</w:t>
              </w:r>
            </w:hyperlink>
          </w:p>
          <w:p w:rsidR="00511113" w:rsidRPr="001E280C" w:rsidRDefault="00511113" w:rsidP="00151372">
            <w:pPr>
              <w:rPr>
                <w:rFonts w:asciiTheme="minorHAnsi" w:hAnsiTheme="minorHAnsi" w:cs="Calibri"/>
                <w:color w:val="000000"/>
                <w:sz w:val="22"/>
                <w:szCs w:val="22"/>
              </w:rPr>
            </w:pPr>
          </w:p>
        </w:tc>
      </w:tr>
    </w:tbl>
    <w:p w:rsidR="00F512B1" w:rsidRPr="001E280C" w:rsidRDefault="00F512B1" w:rsidP="00DE5B0B">
      <w:pPr>
        <w:rPr>
          <w:rFonts w:asciiTheme="minorHAnsi" w:hAnsiTheme="minorHAnsi" w:cstheme="minorHAnsi"/>
        </w:rPr>
      </w:pPr>
    </w:p>
    <w:p w:rsidR="008638C5" w:rsidRPr="001E280C" w:rsidRDefault="008638C5" w:rsidP="00DE5B0B">
      <w:pPr>
        <w:rPr>
          <w:rFonts w:asciiTheme="minorHAnsi" w:hAnsiTheme="minorHAnsi" w:cstheme="minorHAnsi"/>
        </w:rPr>
      </w:pPr>
    </w:p>
    <w:tbl>
      <w:tblPr>
        <w:tblW w:w="9938" w:type="dxa"/>
        <w:tblInd w:w="55"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D9D9D9"/>
        <w:tblLayout w:type="fixed"/>
        <w:tblCellMar>
          <w:left w:w="70" w:type="dxa"/>
          <w:right w:w="70" w:type="dxa"/>
        </w:tblCellMar>
        <w:tblLook w:val="04A0" w:firstRow="1" w:lastRow="0" w:firstColumn="1" w:lastColumn="0" w:noHBand="0" w:noVBand="1"/>
      </w:tblPr>
      <w:tblGrid>
        <w:gridCol w:w="3134"/>
        <w:gridCol w:w="6804"/>
      </w:tblGrid>
      <w:tr w:rsidR="008638C5" w:rsidRPr="001E280C" w:rsidTr="00C032AC">
        <w:trPr>
          <w:trHeight w:val="415"/>
        </w:trPr>
        <w:tc>
          <w:tcPr>
            <w:tcW w:w="9938" w:type="dxa"/>
            <w:gridSpan w:val="2"/>
            <w:tcBorders>
              <w:bottom w:val="single" w:sz="4" w:space="0" w:color="auto"/>
            </w:tcBorders>
            <w:shd w:val="clear" w:color="auto" w:fill="C2D69B"/>
            <w:vAlign w:val="center"/>
          </w:tcPr>
          <w:p w:rsidR="008638C5" w:rsidRPr="001E280C" w:rsidRDefault="008638C5" w:rsidP="006A5B16">
            <w:pPr>
              <w:jc w:val="center"/>
              <w:rPr>
                <w:rFonts w:asciiTheme="minorHAnsi" w:hAnsiTheme="minorHAnsi" w:cs="Calibri"/>
                <w:b/>
                <w:sz w:val="22"/>
                <w:szCs w:val="22"/>
              </w:rPr>
            </w:pPr>
            <w:r w:rsidRPr="001E280C">
              <w:rPr>
                <w:rFonts w:asciiTheme="minorHAnsi" w:hAnsiTheme="minorHAnsi" w:cs="Calibri"/>
                <w:b/>
                <w:sz w:val="24"/>
                <w:szCs w:val="24"/>
              </w:rPr>
              <w:t>PROCEDURE DE PUBLICITE ET DE MISE EN CONCURRENCE</w:t>
            </w:r>
          </w:p>
        </w:tc>
      </w:tr>
      <w:tr w:rsidR="008638C5" w:rsidRPr="001E280C" w:rsidTr="00C032AC">
        <w:tblPrEx>
          <w:shd w:val="clear" w:color="auto" w:fill="auto"/>
        </w:tblPrEx>
        <w:trPr>
          <w:trHeight w:val="77"/>
        </w:trPr>
        <w:tc>
          <w:tcPr>
            <w:tcW w:w="9938" w:type="dxa"/>
            <w:gridSpan w:val="2"/>
            <w:tcBorders>
              <w:left w:val="nil"/>
              <w:right w:val="nil"/>
            </w:tcBorders>
            <w:shd w:val="clear" w:color="auto" w:fill="auto"/>
            <w:vAlign w:val="center"/>
          </w:tcPr>
          <w:p w:rsidR="008638C5" w:rsidRPr="001E280C" w:rsidRDefault="008638C5" w:rsidP="006A5B16">
            <w:pPr>
              <w:rPr>
                <w:rFonts w:asciiTheme="minorHAnsi" w:hAnsiTheme="minorHAnsi" w:cs="Calibri"/>
                <w:b/>
                <w:sz w:val="8"/>
                <w:szCs w:val="8"/>
              </w:rPr>
            </w:pPr>
          </w:p>
        </w:tc>
      </w:tr>
      <w:tr w:rsidR="008638C5" w:rsidRPr="001E280C" w:rsidTr="00C032AC">
        <w:tblPrEx>
          <w:shd w:val="clear" w:color="auto" w:fill="auto"/>
        </w:tblPrEx>
        <w:trPr>
          <w:trHeight w:val="300"/>
        </w:trPr>
        <w:tc>
          <w:tcPr>
            <w:tcW w:w="9938" w:type="dxa"/>
            <w:gridSpan w:val="2"/>
            <w:shd w:val="clear" w:color="auto" w:fill="002060"/>
            <w:vAlign w:val="center"/>
          </w:tcPr>
          <w:p w:rsidR="008638C5" w:rsidRPr="001E280C" w:rsidRDefault="008638C5" w:rsidP="006A5B16">
            <w:pPr>
              <w:rPr>
                <w:rFonts w:asciiTheme="minorHAnsi" w:hAnsiTheme="minorHAnsi" w:cs="Calibri"/>
                <w:color w:val="FFFFFF"/>
                <w:sz w:val="22"/>
                <w:szCs w:val="22"/>
              </w:rPr>
            </w:pPr>
            <w:r w:rsidRPr="001E280C">
              <w:rPr>
                <w:rFonts w:asciiTheme="minorHAnsi" w:hAnsiTheme="minorHAnsi" w:cs="Calibri"/>
                <w:color w:val="FFFFFF"/>
                <w:sz w:val="22"/>
                <w:szCs w:val="22"/>
              </w:rPr>
              <w:t>Procédure de mise en concurrence</w:t>
            </w:r>
          </w:p>
        </w:tc>
      </w:tr>
      <w:tr w:rsidR="008638C5" w:rsidRPr="001E280C" w:rsidTr="00C032AC">
        <w:tblPrEx>
          <w:shd w:val="clear" w:color="auto" w:fill="auto"/>
        </w:tblPrEx>
        <w:trPr>
          <w:trHeight w:val="300"/>
        </w:trPr>
        <w:tc>
          <w:tcPr>
            <w:tcW w:w="3134" w:type="dxa"/>
            <w:shd w:val="clear" w:color="auto" w:fill="auto"/>
            <w:vAlign w:val="center"/>
            <w:hideMark/>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 xml:space="preserve">Pièces présentes au dossier </w:t>
            </w:r>
          </w:p>
        </w:tc>
        <w:tc>
          <w:tcPr>
            <w:tcW w:w="6804" w:type="dxa"/>
            <w:shd w:val="clear" w:color="auto" w:fill="auto"/>
            <w:vAlign w:val="center"/>
            <w:hideMark/>
          </w:tcPr>
          <w:p w:rsidR="008638C5" w:rsidRPr="001E280C" w:rsidRDefault="008638C5" w:rsidP="00C22E5A">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8638C5" w:rsidRPr="001E280C" w:rsidTr="00C032AC">
        <w:tblPrEx>
          <w:shd w:val="clear" w:color="auto" w:fill="auto"/>
        </w:tblPrEx>
        <w:trPr>
          <w:trHeight w:val="300"/>
        </w:trPr>
        <w:tc>
          <w:tcPr>
            <w:tcW w:w="3134" w:type="dxa"/>
            <w:shd w:val="clear" w:color="auto" w:fill="auto"/>
            <w:vAlign w:val="center"/>
            <w:hideMark/>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Procédure choisie par le pouvoir adjudicateur/entité adjudicatrice</w:t>
            </w:r>
          </w:p>
        </w:tc>
        <w:tc>
          <w:tcPr>
            <w:tcW w:w="6804" w:type="dxa"/>
            <w:shd w:val="clear" w:color="auto" w:fill="auto"/>
            <w:vAlign w:val="center"/>
            <w:hideMark/>
          </w:tcPr>
          <w:p w:rsidR="00F8006D" w:rsidRPr="001E280C" w:rsidRDefault="00C22E5A" w:rsidP="006A5B16">
            <w:pPr>
              <w:rPr>
                <w:rFonts w:asciiTheme="minorHAnsi" w:hAnsiTheme="minorHAnsi" w:cs="Calibri"/>
                <w:color w:val="000000"/>
                <w:sz w:val="22"/>
                <w:szCs w:val="22"/>
              </w:rPr>
            </w:pPr>
            <w:r w:rsidRPr="001E280C">
              <w:rPr>
                <w:rFonts w:asciiTheme="minorHAnsi" w:hAnsiTheme="minorHAnsi" w:cs="Calibri"/>
                <w:color w:val="000000"/>
                <w:sz w:val="22"/>
                <w:szCs w:val="22"/>
              </w:rPr>
              <w:t>Indiqu</w:t>
            </w:r>
            <w:r w:rsidR="00F8006D" w:rsidRPr="001E280C">
              <w:rPr>
                <w:rFonts w:asciiTheme="minorHAnsi" w:hAnsiTheme="minorHAnsi" w:cs="Calibri"/>
                <w:color w:val="000000"/>
                <w:sz w:val="22"/>
                <w:szCs w:val="22"/>
              </w:rPr>
              <w:t>er le type de procédure (procédure adaptée, appel d’offre ouvert ou restreint, procédure négociée, dialogue compétitif…).</w:t>
            </w:r>
          </w:p>
          <w:p w:rsidR="00024589" w:rsidRPr="001E280C" w:rsidRDefault="00024589" w:rsidP="006A5B16">
            <w:pPr>
              <w:rPr>
                <w:rFonts w:asciiTheme="minorHAnsi" w:hAnsiTheme="minorHAnsi" w:cs="Calibri"/>
                <w:i/>
                <w:color w:val="31849B" w:themeColor="accent5" w:themeShade="BF"/>
                <w:sz w:val="22"/>
                <w:szCs w:val="22"/>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2"/>
                <w:szCs w:val="22"/>
              </w:rPr>
              <w:t xml:space="preserve"> Résumés des</w:t>
            </w:r>
            <w:r w:rsidR="00B00DE6">
              <w:rPr>
                <w:rFonts w:asciiTheme="minorHAnsi" w:hAnsiTheme="minorHAnsi" w:cs="Calibri"/>
                <w:i/>
                <w:color w:val="31849B" w:themeColor="accent5" w:themeShade="BF"/>
                <w:sz w:val="22"/>
                <w:szCs w:val="22"/>
              </w:rPr>
              <w:t xml:space="preserve"> AO</w:t>
            </w:r>
            <w:r w:rsidRPr="001E280C">
              <w:rPr>
                <w:rFonts w:asciiTheme="minorHAnsi" w:hAnsiTheme="minorHAnsi" w:cs="Calibri"/>
                <w:i/>
                <w:color w:val="31849B" w:themeColor="accent5" w:themeShade="BF"/>
                <w:sz w:val="22"/>
                <w:szCs w:val="22"/>
              </w:rPr>
              <w:t xml:space="preserve"> réalisés par la DAJ :</w:t>
            </w:r>
          </w:p>
          <w:p w:rsidR="000C35FD" w:rsidRDefault="00B227C8" w:rsidP="006A5B16">
            <w:pPr>
              <w:rPr>
                <w:rStyle w:val="Lienhypertexte"/>
                <w:rFonts w:asciiTheme="minorHAnsi" w:hAnsiTheme="minorHAnsi" w:cs="Calibri"/>
                <w:i/>
                <w:color w:val="31849B" w:themeColor="accent5" w:themeShade="BF"/>
                <w:sz w:val="22"/>
                <w:szCs w:val="22"/>
              </w:rPr>
            </w:pPr>
            <w:hyperlink r:id="rId28" w:history="1">
              <w:r w:rsidR="00B00DE6" w:rsidRPr="00B00DE6">
                <w:rPr>
                  <w:rStyle w:val="Lienhypertexte"/>
                  <w:rFonts w:asciiTheme="minorHAnsi" w:hAnsiTheme="minorHAnsi" w:cs="Calibri"/>
                  <w:i/>
                  <w:color w:val="31849B" w:themeColor="accent5" w:themeShade="BF"/>
                  <w:sz w:val="22"/>
                  <w:szCs w:val="22"/>
                </w:rPr>
                <w:t>https://www.economie.gouv.fr/files/directions_services/daj/marches_publics/conseil_acheteurs/deroulement-procedures/aoo-2016.pdf</w:t>
              </w:r>
            </w:hyperlink>
          </w:p>
          <w:p w:rsidR="00511113" w:rsidRDefault="00511113" w:rsidP="006A5B16">
            <w:pPr>
              <w:rPr>
                <w:rStyle w:val="Lienhypertexte"/>
                <w:rFonts w:asciiTheme="minorHAnsi" w:hAnsiTheme="minorHAnsi" w:cs="Calibri"/>
                <w:i/>
                <w:color w:val="31849B" w:themeColor="accent5" w:themeShade="BF"/>
                <w:sz w:val="22"/>
                <w:szCs w:val="22"/>
              </w:rPr>
            </w:pPr>
          </w:p>
          <w:p w:rsidR="00511113" w:rsidRPr="00B00DE6" w:rsidRDefault="00511113" w:rsidP="006A5B16">
            <w:pPr>
              <w:rPr>
                <w:rStyle w:val="Lienhypertexte"/>
                <w:rFonts w:asciiTheme="minorHAnsi" w:hAnsiTheme="minorHAnsi" w:cs="Calibri"/>
                <w:i/>
                <w:color w:val="31849B" w:themeColor="accent5" w:themeShade="BF"/>
                <w:sz w:val="22"/>
                <w:szCs w:val="22"/>
              </w:rPr>
            </w:pPr>
          </w:p>
          <w:p w:rsidR="00B00DE6" w:rsidRPr="001E280C" w:rsidRDefault="00B00DE6" w:rsidP="006A5B16">
            <w:pPr>
              <w:rPr>
                <w:rFonts w:asciiTheme="minorHAnsi" w:hAnsiTheme="minorHAnsi"/>
                <w:i/>
                <w:color w:val="31849B" w:themeColor="accent5" w:themeShade="BF"/>
                <w:u w:val="single"/>
              </w:rPr>
            </w:pPr>
          </w:p>
        </w:tc>
      </w:tr>
      <w:tr w:rsidR="008638C5" w:rsidRPr="001E280C" w:rsidTr="00C032AC">
        <w:tblPrEx>
          <w:shd w:val="clear" w:color="auto" w:fill="auto"/>
        </w:tblPrEx>
        <w:trPr>
          <w:trHeight w:val="300"/>
        </w:trPr>
        <w:tc>
          <w:tcPr>
            <w:tcW w:w="3134" w:type="dxa"/>
            <w:tcBorders>
              <w:bottom w:val="single" w:sz="4" w:space="0" w:color="auto"/>
            </w:tcBorders>
            <w:shd w:val="clear" w:color="auto" w:fill="auto"/>
            <w:vAlign w:val="center"/>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804" w:type="dxa"/>
            <w:tcBorders>
              <w:bottom w:val="single" w:sz="4" w:space="0" w:color="auto"/>
            </w:tcBorders>
            <w:shd w:val="clear" w:color="auto" w:fill="auto"/>
            <w:vAlign w:val="center"/>
          </w:tcPr>
          <w:p w:rsidR="004925C5" w:rsidRPr="001E280C" w:rsidRDefault="004925C5" w:rsidP="004925C5">
            <w:pPr>
              <w:rPr>
                <w:rFonts w:asciiTheme="minorHAnsi" w:hAnsiTheme="minorHAnsi" w:cs="Calibri"/>
                <w:i/>
                <w:color w:val="31849B" w:themeColor="accent5" w:themeShade="BF"/>
                <w:sz w:val="22"/>
                <w:szCs w:val="22"/>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2"/>
                <w:szCs w:val="22"/>
              </w:rPr>
              <w:t xml:space="preserve"> </w:t>
            </w:r>
            <w:r w:rsidR="007D19B1" w:rsidRPr="001E280C">
              <w:rPr>
                <w:rFonts w:asciiTheme="minorHAnsi" w:hAnsiTheme="minorHAnsi" w:cs="Calibri"/>
                <w:i/>
                <w:color w:val="31849B" w:themeColor="accent5" w:themeShade="BF"/>
                <w:sz w:val="22"/>
                <w:szCs w:val="22"/>
              </w:rPr>
              <w:t>T</w:t>
            </w:r>
            <w:r w:rsidRPr="001E280C">
              <w:rPr>
                <w:rFonts w:asciiTheme="minorHAnsi" w:hAnsiTheme="minorHAnsi" w:cs="Calibri"/>
                <w:i/>
                <w:color w:val="31849B" w:themeColor="accent5" w:themeShade="BF"/>
                <w:sz w:val="22"/>
                <w:szCs w:val="22"/>
              </w:rPr>
              <w:t>ableaux et fiches techniques relatifs aux procédures édités par la DAJ :</w:t>
            </w:r>
          </w:p>
          <w:p w:rsidR="008638C5" w:rsidRPr="001E280C" w:rsidRDefault="00B227C8" w:rsidP="004925C5">
            <w:pPr>
              <w:rPr>
                <w:rFonts w:asciiTheme="minorHAnsi" w:hAnsiTheme="minorHAnsi" w:cs="Calibri"/>
                <w:i/>
                <w:color w:val="31849B" w:themeColor="accent5" w:themeShade="BF"/>
                <w:sz w:val="22"/>
                <w:szCs w:val="22"/>
              </w:rPr>
            </w:pPr>
            <w:hyperlink r:id="rId29" w:history="1">
              <w:r w:rsidR="004925C5" w:rsidRPr="001E280C">
                <w:rPr>
                  <w:rStyle w:val="Lienhypertexte"/>
                  <w:rFonts w:asciiTheme="minorHAnsi" w:hAnsiTheme="minorHAnsi" w:cs="Calibri"/>
                  <w:i/>
                  <w:color w:val="31849B" w:themeColor="accent5" w:themeShade="BF"/>
                  <w:sz w:val="22"/>
                  <w:szCs w:val="22"/>
                </w:rPr>
                <w:t>http://www.economie.gouv.fr/daj/conseil-acheteurs-tableaux</w:t>
              </w:r>
            </w:hyperlink>
          </w:p>
          <w:p w:rsidR="00A86ECC" w:rsidRPr="001E280C" w:rsidRDefault="00B227C8" w:rsidP="004925C5">
            <w:pPr>
              <w:rPr>
                <w:rFonts w:asciiTheme="minorHAnsi" w:hAnsiTheme="minorHAnsi" w:cs="Calibri"/>
                <w:i/>
                <w:color w:val="31849B" w:themeColor="accent5" w:themeShade="BF"/>
                <w:sz w:val="22"/>
                <w:szCs w:val="22"/>
                <w:u w:val="single"/>
              </w:rPr>
            </w:pPr>
            <w:hyperlink r:id="rId30" w:history="1">
              <w:r w:rsidR="00A86ECC" w:rsidRPr="001E280C">
                <w:rPr>
                  <w:rStyle w:val="Lienhypertexte"/>
                  <w:rFonts w:asciiTheme="minorHAnsi" w:hAnsiTheme="minorHAnsi" w:cs="Calibri"/>
                  <w:i/>
                  <w:color w:val="31849B" w:themeColor="accent5" w:themeShade="BF"/>
                  <w:sz w:val="22"/>
                  <w:szCs w:val="22"/>
                </w:rPr>
                <w:t>http://www.economie.gouv.fr/daj/conseil-acheteurs-fiches-techniques</w:t>
              </w:r>
            </w:hyperlink>
          </w:p>
        </w:tc>
      </w:tr>
      <w:tr w:rsidR="008638C5" w:rsidRPr="001E280C" w:rsidTr="00C032AC">
        <w:tblPrEx>
          <w:shd w:val="clear" w:color="auto" w:fill="auto"/>
        </w:tblPrEx>
        <w:trPr>
          <w:trHeight w:val="300"/>
        </w:trPr>
        <w:tc>
          <w:tcPr>
            <w:tcW w:w="9938" w:type="dxa"/>
            <w:gridSpan w:val="2"/>
            <w:shd w:val="clear" w:color="auto" w:fill="002060"/>
            <w:vAlign w:val="center"/>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FFFFFF"/>
                <w:sz w:val="22"/>
                <w:szCs w:val="22"/>
              </w:rPr>
              <w:t>Définition de l’objet du marché</w:t>
            </w:r>
          </w:p>
        </w:tc>
      </w:tr>
      <w:tr w:rsidR="008638C5" w:rsidRPr="001E280C" w:rsidTr="00C032AC">
        <w:tblPrEx>
          <w:shd w:val="clear" w:color="auto" w:fill="auto"/>
        </w:tblPrEx>
        <w:trPr>
          <w:trHeight w:val="300"/>
        </w:trPr>
        <w:tc>
          <w:tcPr>
            <w:tcW w:w="3134" w:type="dxa"/>
            <w:shd w:val="clear" w:color="auto" w:fill="auto"/>
            <w:vAlign w:val="center"/>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Description précise du produit ou des prestations attendues</w:t>
            </w:r>
          </w:p>
        </w:tc>
        <w:tc>
          <w:tcPr>
            <w:tcW w:w="6804" w:type="dxa"/>
            <w:shd w:val="clear" w:color="auto" w:fill="auto"/>
            <w:vAlign w:val="center"/>
          </w:tcPr>
          <w:p w:rsidR="005700E9" w:rsidRPr="001E280C" w:rsidRDefault="005700E9" w:rsidP="006A5B16">
            <w:pPr>
              <w:rPr>
                <w:rFonts w:asciiTheme="minorHAnsi" w:hAnsiTheme="minorHAnsi" w:cs="Calibri"/>
                <w:i/>
                <w:color w:val="31849B" w:themeColor="accent5" w:themeShade="BF"/>
                <w:sz w:val="24"/>
                <w:szCs w:val="24"/>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4"/>
                <w:szCs w:val="24"/>
              </w:rPr>
              <w:t xml:space="preserve"> </w:t>
            </w:r>
            <w:r w:rsidRPr="001E280C">
              <w:rPr>
                <w:rFonts w:asciiTheme="minorHAnsi" w:hAnsiTheme="minorHAnsi" w:cs="Calibri"/>
                <w:i/>
                <w:color w:val="31849B" w:themeColor="accent5" w:themeShade="BF"/>
                <w:sz w:val="22"/>
                <w:szCs w:val="22"/>
              </w:rPr>
              <w:t xml:space="preserve">Point 4 de </w:t>
            </w:r>
            <w:r w:rsidR="00B00DE6">
              <w:rPr>
                <w:rFonts w:asciiTheme="minorHAnsi" w:hAnsiTheme="minorHAnsi" w:cs="Calibri"/>
                <w:i/>
                <w:color w:val="31849B" w:themeColor="accent5" w:themeShade="BF"/>
                <w:sz w:val="22"/>
                <w:szCs w:val="22"/>
              </w:rPr>
              <w:t>la Circulaire du 14 février 2014</w:t>
            </w:r>
            <w:r w:rsidRPr="001E280C">
              <w:rPr>
                <w:rFonts w:asciiTheme="minorHAnsi" w:hAnsiTheme="minorHAnsi" w:cs="Calibri"/>
                <w:i/>
                <w:color w:val="31849B" w:themeColor="accent5" w:themeShade="BF"/>
                <w:sz w:val="22"/>
                <w:szCs w:val="22"/>
              </w:rPr>
              <w:t xml:space="preserve"> relative au Guide de bonnes pratiques en matière de marchés publics</w:t>
            </w:r>
            <w:r w:rsidRPr="001E280C">
              <w:rPr>
                <w:rFonts w:asciiTheme="minorHAnsi" w:hAnsiTheme="minorHAnsi" w:cs="Calibri"/>
                <w:i/>
                <w:color w:val="31849B" w:themeColor="accent5" w:themeShade="BF"/>
                <w:sz w:val="24"/>
                <w:szCs w:val="24"/>
              </w:rPr>
              <w:t xml:space="preserve"> </w:t>
            </w:r>
          </w:p>
          <w:p w:rsidR="0052701A" w:rsidRDefault="00B227C8" w:rsidP="006A5B16">
            <w:pPr>
              <w:rPr>
                <w:rStyle w:val="Lienhypertexte"/>
                <w:rFonts w:asciiTheme="minorHAnsi" w:hAnsiTheme="minorHAnsi" w:cs="Calibri"/>
                <w:i/>
                <w:color w:val="31849B" w:themeColor="accent5" w:themeShade="BF"/>
                <w:sz w:val="22"/>
                <w:szCs w:val="22"/>
              </w:rPr>
            </w:pPr>
            <w:hyperlink r:id="rId31" w:history="1">
              <w:r w:rsidR="00511113" w:rsidRPr="008A08E3">
                <w:rPr>
                  <w:rStyle w:val="Lienhypertexte"/>
                  <w:rFonts w:asciiTheme="minorHAnsi" w:hAnsiTheme="minorHAnsi" w:cs="Calibri"/>
                  <w:i/>
                  <w:sz w:val="22"/>
                  <w:szCs w:val="22"/>
                </w:rPr>
                <w:t>https://www.economie.gouv.fr/files/files/directions_services/daj/marches_publics/conseil_acheteurs/guides/guide-bonnes-pratiques-mp.pdf</w:t>
              </w:r>
            </w:hyperlink>
          </w:p>
          <w:p w:rsidR="00511113" w:rsidRPr="001E280C" w:rsidRDefault="00511113" w:rsidP="006A5B16">
            <w:pPr>
              <w:rPr>
                <w:rFonts w:asciiTheme="minorHAnsi" w:hAnsiTheme="minorHAnsi"/>
                <w:i/>
                <w:color w:val="31849B" w:themeColor="accent5" w:themeShade="BF"/>
                <w:sz w:val="22"/>
                <w:szCs w:val="22"/>
                <w:u w:val="single"/>
              </w:rPr>
            </w:pPr>
          </w:p>
        </w:tc>
      </w:tr>
      <w:tr w:rsidR="008638C5" w:rsidRPr="001E280C" w:rsidTr="00C032AC">
        <w:tblPrEx>
          <w:shd w:val="clear" w:color="auto" w:fill="auto"/>
        </w:tblPrEx>
        <w:trPr>
          <w:trHeight w:val="300"/>
        </w:trPr>
        <w:tc>
          <w:tcPr>
            <w:tcW w:w="3134" w:type="dxa"/>
            <w:shd w:val="clear" w:color="auto" w:fill="auto"/>
            <w:vAlign w:val="center"/>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Description des besoins de nature à garantir l'absence de discrimination et l'égalité de traitement</w:t>
            </w:r>
          </w:p>
        </w:tc>
        <w:tc>
          <w:tcPr>
            <w:tcW w:w="6804" w:type="dxa"/>
            <w:shd w:val="clear" w:color="auto" w:fill="auto"/>
            <w:vAlign w:val="center"/>
          </w:tcPr>
          <w:p w:rsidR="008638C5" w:rsidRPr="001E280C" w:rsidRDefault="008638C5" w:rsidP="006A5B16">
            <w:pPr>
              <w:rPr>
                <w:rFonts w:asciiTheme="minorHAnsi" w:hAnsiTheme="minorHAnsi" w:cs="Calibri"/>
                <w:color w:val="000000"/>
                <w:sz w:val="22"/>
                <w:szCs w:val="22"/>
              </w:rPr>
            </w:pPr>
          </w:p>
        </w:tc>
      </w:tr>
      <w:tr w:rsidR="008638C5" w:rsidRPr="001E280C" w:rsidTr="00C032AC">
        <w:tblPrEx>
          <w:shd w:val="clear" w:color="auto" w:fill="auto"/>
        </w:tblPrEx>
        <w:trPr>
          <w:trHeight w:val="300"/>
        </w:trPr>
        <w:tc>
          <w:tcPr>
            <w:tcW w:w="3134" w:type="dxa"/>
            <w:shd w:val="clear" w:color="auto" w:fill="auto"/>
            <w:vAlign w:val="center"/>
            <w:hideMark/>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804" w:type="dxa"/>
            <w:shd w:val="clear" w:color="auto" w:fill="auto"/>
            <w:vAlign w:val="center"/>
            <w:hideMark/>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8638C5" w:rsidRPr="001E280C" w:rsidTr="00C032AC">
        <w:tblPrEx>
          <w:shd w:val="clear" w:color="auto" w:fill="auto"/>
        </w:tblPrEx>
        <w:trPr>
          <w:trHeight w:val="300"/>
        </w:trPr>
        <w:tc>
          <w:tcPr>
            <w:tcW w:w="9938" w:type="dxa"/>
            <w:gridSpan w:val="2"/>
            <w:shd w:val="clear" w:color="auto" w:fill="002060"/>
            <w:vAlign w:val="center"/>
          </w:tcPr>
          <w:p w:rsidR="008638C5" w:rsidRPr="001E280C" w:rsidRDefault="008638C5" w:rsidP="006A5B16">
            <w:pPr>
              <w:rPr>
                <w:rFonts w:asciiTheme="minorHAnsi" w:hAnsiTheme="minorHAnsi" w:cs="Calibri"/>
                <w:color w:val="FFFFFF"/>
                <w:sz w:val="22"/>
                <w:szCs w:val="22"/>
              </w:rPr>
            </w:pPr>
            <w:r w:rsidRPr="001E280C">
              <w:rPr>
                <w:rFonts w:asciiTheme="minorHAnsi" w:hAnsiTheme="minorHAnsi" w:cs="Calibri"/>
                <w:color w:val="FFFFFF"/>
                <w:sz w:val="22"/>
                <w:szCs w:val="22"/>
              </w:rPr>
              <w:t>Procédure de publicité : journal d'annonces légales, presse spécialisée, BOAMP, JOUE…</w:t>
            </w:r>
          </w:p>
        </w:tc>
      </w:tr>
      <w:tr w:rsidR="008638C5" w:rsidRPr="001E280C" w:rsidTr="00C032AC">
        <w:tblPrEx>
          <w:shd w:val="clear" w:color="auto" w:fill="auto"/>
        </w:tblPrEx>
        <w:trPr>
          <w:trHeight w:val="300"/>
        </w:trPr>
        <w:tc>
          <w:tcPr>
            <w:tcW w:w="3134" w:type="dxa"/>
            <w:shd w:val="clear" w:color="auto" w:fill="auto"/>
            <w:vAlign w:val="center"/>
            <w:hideMark/>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Pièces présentes au dossier</w:t>
            </w:r>
          </w:p>
        </w:tc>
        <w:tc>
          <w:tcPr>
            <w:tcW w:w="6804" w:type="dxa"/>
            <w:shd w:val="clear" w:color="auto" w:fill="auto"/>
            <w:vAlign w:val="center"/>
            <w:hideMark/>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8638C5" w:rsidRPr="001E280C" w:rsidTr="00C032AC">
        <w:tblPrEx>
          <w:shd w:val="clear" w:color="auto" w:fill="auto"/>
        </w:tblPrEx>
        <w:trPr>
          <w:trHeight w:val="300"/>
        </w:trPr>
        <w:tc>
          <w:tcPr>
            <w:tcW w:w="3134" w:type="dxa"/>
            <w:shd w:val="clear" w:color="auto" w:fill="auto"/>
            <w:vAlign w:val="center"/>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Degré de publicité adéquat si le marché est inférieur aux seuils européens et présente un intérêt transfrontalier certain</w:t>
            </w:r>
          </w:p>
        </w:tc>
        <w:tc>
          <w:tcPr>
            <w:tcW w:w="6804" w:type="dxa"/>
            <w:shd w:val="clear" w:color="auto" w:fill="auto"/>
            <w:vAlign w:val="center"/>
          </w:tcPr>
          <w:p w:rsidR="0059318D" w:rsidRPr="001E280C" w:rsidRDefault="0059318D" w:rsidP="0059318D">
            <w:pPr>
              <w:rPr>
                <w:rFonts w:asciiTheme="minorHAnsi" w:hAnsiTheme="minorHAnsi" w:cs="Calibri"/>
                <w:color w:val="000000"/>
                <w:sz w:val="22"/>
                <w:szCs w:val="22"/>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4"/>
                <w:szCs w:val="24"/>
              </w:rPr>
              <w:t xml:space="preserve"> -</w:t>
            </w:r>
            <w:r w:rsidRPr="001E280C">
              <w:rPr>
                <w:rFonts w:asciiTheme="minorHAnsi" w:hAnsiTheme="minorHAnsi" w:cs="Calibri"/>
                <w:i/>
                <w:color w:val="31849B" w:themeColor="accent5" w:themeShade="BF"/>
                <w:sz w:val="22"/>
                <w:szCs w:val="22"/>
              </w:rPr>
              <w:t>Point 1.2.2 de la décision de la Commission du 19 décembre 2013 relative à l'établissement et à l’approbation des orientations pour la détermination des corrections financières à appliquer par la Commission aux dépenses financées par l’Union dans le cadre de la gestion partagée en cas de non-respect des règles en matière de marchés publics.</w:t>
            </w:r>
          </w:p>
          <w:p w:rsidR="0059318D" w:rsidRPr="001E280C" w:rsidRDefault="0059318D" w:rsidP="0059318D">
            <w:pPr>
              <w:rPr>
                <w:rFonts w:asciiTheme="minorHAnsi" w:hAnsiTheme="minorHAnsi" w:cs="Calibri"/>
                <w:color w:val="000000"/>
                <w:sz w:val="22"/>
                <w:szCs w:val="22"/>
              </w:rPr>
            </w:pPr>
            <w:r w:rsidRPr="001E280C">
              <w:rPr>
                <w:rFonts w:asciiTheme="minorHAnsi" w:hAnsiTheme="minorHAnsi" w:cs="Calibri"/>
                <w:i/>
                <w:color w:val="31849B" w:themeColor="accent5" w:themeShade="BF"/>
                <w:sz w:val="22"/>
                <w:szCs w:val="22"/>
              </w:rPr>
              <w:t>-Fiche technique relative à l’intérêt transfrontalier certain éditée par la DAJ :</w:t>
            </w:r>
          </w:p>
          <w:p w:rsidR="008638C5" w:rsidRDefault="00B227C8" w:rsidP="0059318D">
            <w:pPr>
              <w:rPr>
                <w:rStyle w:val="Lienhypertexte"/>
                <w:rFonts w:asciiTheme="minorHAnsi" w:hAnsiTheme="minorHAnsi" w:cs="Calibri"/>
                <w:i/>
                <w:color w:val="31849B" w:themeColor="accent5" w:themeShade="BF"/>
                <w:sz w:val="22"/>
                <w:szCs w:val="22"/>
              </w:rPr>
            </w:pPr>
            <w:hyperlink r:id="rId32" w:history="1">
              <w:r w:rsidR="00511113" w:rsidRPr="008A08E3">
                <w:rPr>
                  <w:rStyle w:val="Lienhypertexte"/>
                  <w:rFonts w:asciiTheme="minorHAnsi" w:hAnsiTheme="minorHAnsi" w:cs="Calibri"/>
                  <w:i/>
                  <w:sz w:val="22"/>
                  <w:szCs w:val="22"/>
                </w:rPr>
                <w:t>https://www.economie.gouv.fr/files/files/directions_services/daj/marches_publics/conseil_acheteurs/fiches-techniques/mise-en-oeuvre-procedure/interet-transfrontalier-certain-2017.pdf</w:t>
              </w:r>
            </w:hyperlink>
          </w:p>
          <w:p w:rsidR="00511113" w:rsidRPr="001E280C" w:rsidRDefault="00511113" w:rsidP="0059318D">
            <w:pPr>
              <w:rPr>
                <w:rFonts w:asciiTheme="minorHAnsi" w:hAnsiTheme="minorHAnsi" w:cs="Calibri"/>
                <w:color w:val="000000"/>
                <w:sz w:val="22"/>
                <w:szCs w:val="22"/>
              </w:rPr>
            </w:pPr>
          </w:p>
        </w:tc>
      </w:tr>
      <w:tr w:rsidR="008638C5" w:rsidRPr="001E280C" w:rsidTr="00C032AC">
        <w:tblPrEx>
          <w:shd w:val="clear" w:color="auto" w:fill="auto"/>
        </w:tblPrEx>
        <w:trPr>
          <w:trHeight w:val="300"/>
        </w:trPr>
        <w:tc>
          <w:tcPr>
            <w:tcW w:w="3134" w:type="dxa"/>
            <w:tcBorders>
              <w:bottom w:val="single" w:sz="4" w:space="0" w:color="auto"/>
            </w:tcBorders>
            <w:shd w:val="clear" w:color="auto" w:fill="auto"/>
            <w:vAlign w:val="center"/>
            <w:hideMark/>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804" w:type="dxa"/>
            <w:tcBorders>
              <w:bottom w:val="single" w:sz="4" w:space="0" w:color="auto"/>
            </w:tcBorders>
            <w:shd w:val="clear" w:color="auto" w:fill="auto"/>
            <w:vAlign w:val="center"/>
            <w:hideMark/>
          </w:tcPr>
          <w:p w:rsidR="00A84E80" w:rsidRPr="001E280C" w:rsidRDefault="00A84E80" w:rsidP="00516727">
            <w:pPr>
              <w:rPr>
                <w:rFonts w:asciiTheme="minorHAnsi" w:hAnsiTheme="minorHAnsi" w:cs="Calibri"/>
                <w:color w:val="000000"/>
                <w:sz w:val="22"/>
                <w:szCs w:val="22"/>
              </w:rPr>
            </w:pPr>
            <w:r w:rsidRPr="001E280C">
              <w:rPr>
                <w:rFonts w:asciiTheme="minorHAnsi" w:hAnsiTheme="minorHAnsi" w:cs="Calibri"/>
                <w:color w:val="000000"/>
                <w:sz w:val="22"/>
                <w:szCs w:val="22"/>
              </w:rPr>
              <w:t>Vérifier si le degré de publicité est suffisant pour les procédures adaptées inférieures à 90 000 €, et s’il est conforme aux obligations réglementaires au-delà.</w:t>
            </w:r>
          </w:p>
          <w:p w:rsidR="00516727" w:rsidRPr="001E280C" w:rsidRDefault="00516727" w:rsidP="00516727">
            <w:pPr>
              <w:rPr>
                <w:rFonts w:asciiTheme="minorHAnsi" w:hAnsiTheme="minorHAnsi" w:cs="Calibri"/>
                <w:i/>
                <w:color w:val="31849B" w:themeColor="accent5" w:themeShade="BF"/>
                <w:sz w:val="22"/>
                <w:szCs w:val="22"/>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2"/>
                <w:szCs w:val="22"/>
              </w:rPr>
              <w:t xml:space="preserve"> Tableaux et fiches techniques relatifs à la publicité édités par la DAJ :</w:t>
            </w:r>
          </w:p>
          <w:p w:rsidR="00516727" w:rsidRPr="001E280C" w:rsidRDefault="00B227C8" w:rsidP="00516727">
            <w:pPr>
              <w:rPr>
                <w:rFonts w:asciiTheme="minorHAnsi" w:hAnsiTheme="minorHAnsi" w:cs="Calibri"/>
                <w:i/>
                <w:color w:val="31849B" w:themeColor="accent5" w:themeShade="BF"/>
                <w:sz w:val="22"/>
                <w:szCs w:val="22"/>
              </w:rPr>
            </w:pPr>
            <w:hyperlink r:id="rId33" w:history="1">
              <w:r w:rsidR="00516727" w:rsidRPr="001E280C">
                <w:rPr>
                  <w:rStyle w:val="Lienhypertexte"/>
                  <w:rFonts w:asciiTheme="minorHAnsi" w:hAnsiTheme="minorHAnsi" w:cs="Calibri"/>
                  <w:i/>
                  <w:color w:val="31849B" w:themeColor="accent5" w:themeShade="BF"/>
                  <w:sz w:val="22"/>
                  <w:szCs w:val="22"/>
                </w:rPr>
                <w:t>http://www.economie.gouv.fr/daj/conseil-acheteurs-tableaux</w:t>
              </w:r>
            </w:hyperlink>
          </w:p>
          <w:p w:rsidR="00F546FE" w:rsidRPr="00B00DE6" w:rsidRDefault="00B227C8" w:rsidP="00516727">
            <w:pPr>
              <w:rPr>
                <w:rStyle w:val="Lienhypertexte"/>
                <w:rFonts w:asciiTheme="minorHAnsi" w:hAnsiTheme="minorHAnsi"/>
                <w:i/>
                <w:color w:val="31849B" w:themeColor="accent5" w:themeShade="BF"/>
                <w:sz w:val="22"/>
                <w:szCs w:val="22"/>
              </w:rPr>
            </w:pPr>
            <w:hyperlink r:id="rId34" w:history="1">
              <w:r w:rsidR="00F546FE" w:rsidRPr="001E280C">
                <w:rPr>
                  <w:rStyle w:val="Lienhypertexte"/>
                  <w:rFonts w:asciiTheme="minorHAnsi" w:hAnsiTheme="minorHAnsi"/>
                  <w:i/>
                  <w:sz w:val="22"/>
                  <w:szCs w:val="22"/>
                </w:rPr>
                <w:t>http://www.economie.gouv.fr/daj/conseil-acheteurs-fiches-techniques</w:t>
              </w:r>
            </w:hyperlink>
          </w:p>
          <w:p w:rsidR="00F546FE" w:rsidRPr="001E280C" w:rsidRDefault="00B227C8" w:rsidP="00516727">
            <w:pPr>
              <w:rPr>
                <w:rFonts w:asciiTheme="minorHAnsi" w:hAnsiTheme="minorHAnsi"/>
                <w:i/>
                <w:color w:val="31849B" w:themeColor="accent5" w:themeShade="BF"/>
                <w:u w:val="single"/>
              </w:rPr>
            </w:pPr>
            <w:hyperlink r:id="rId35" w:history="1">
              <w:r w:rsidR="00F546FE" w:rsidRPr="001E280C">
                <w:rPr>
                  <w:rStyle w:val="Lienhypertexte"/>
                  <w:rFonts w:asciiTheme="minorHAnsi" w:hAnsiTheme="minorHAnsi" w:cs="Calibri"/>
                  <w:i/>
                  <w:color w:val="31849B" w:themeColor="accent5" w:themeShade="BF"/>
                  <w:sz w:val="22"/>
                  <w:szCs w:val="22"/>
                </w:rPr>
                <w:t>http://www.economie.gouv.fr/daj/formulaires</w:t>
              </w:r>
            </w:hyperlink>
          </w:p>
        </w:tc>
      </w:tr>
      <w:tr w:rsidR="008638C5" w:rsidRPr="001E280C" w:rsidTr="00C032AC">
        <w:tblPrEx>
          <w:shd w:val="clear" w:color="auto" w:fill="auto"/>
        </w:tblPrEx>
        <w:trPr>
          <w:trHeight w:val="300"/>
        </w:trPr>
        <w:tc>
          <w:tcPr>
            <w:tcW w:w="9938" w:type="dxa"/>
            <w:gridSpan w:val="2"/>
            <w:shd w:val="clear" w:color="auto" w:fill="002060"/>
            <w:vAlign w:val="center"/>
          </w:tcPr>
          <w:p w:rsidR="008638C5" w:rsidRPr="001E280C" w:rsidRDefault="008638C5" w:rsidP="006A5B16">
            <w:pPr>
              <w:rPr>
                <w:rFonts w:asciiTheme="minorHAnsi" w:hAnsiTheme="minorHAnsi" w:cs="Calibri"/>
                <w:color w:val="FFFFFF"/>
                <w:sz w:val="22"/>
                <w:szCs w:val="22"/>
              </w:rPr>
            </w:pPr>
            <w:r w:rsidRPr="001E280C">
              <w:rPr>
                <w:rFonts w:asciiTheme="minorHAnsi" w:hAnsiTheme="minorHAnsi" w:cs="Calibri"/>
                <w:color w:val="FFFFFF"/>
                <w:sz w:val="22"/>
                <w:szCs w:val="22"/>
              </w:rPr>
              <w:t>Délais de présentation des candidatures et des offres</w:t>
            </w:r>
          </w:p>
        </w:tc>
      </w:tr>
      <w:tr w:rsidR="008638C5" w:rsidRPr="001E280C" w:rsidTr="00C032AC">
        <w:tblPrEx>
          <w:shd w:val="clear" w:color="auto" w:fill="auto"/>
        </w:tblPrEx>
        <w:trPr>
          <w:trHeight w:val="300"/>
        </w:trPr>
        <w:tc>
          <w:tcPr>
            <w:tcW w:w="3134" w:type="dxa"/>
            <w:shd w:val="clear" w:color="auto" w:fill="auto"/>
            <w:vAlign w:val="center"/>
          </w:tcPr>
          <w:p w:rsidR="008638C5" w:rsidRPr="001E280C" w:rsidRDefault="008638C5" w:rsidP="00D02B8D">
            <w:pPr>
              <w:rPr>
                <w:rFonts w:asciiTheme="minorHAnsi" w:hAnsiTheme="minorHAnsi" w:cs="Calibri"/>
                <w:color w:val="000000"/>
                <w:sz w:val="22"/>
                <w:szCs w:val="22"/>
              </w:rPr>
            </w:pPr>
            <w:r w:rsidRPr="001E280C">
              <w:rPr>
                <w:rFonts w:asciiTheme="minorHAnsi" w:hAnsiTheme="minorHAnsi" w:cs="Calibri"/>
                <w:color w:val="000000"/>
                <w:sz w:val="22"/>
                <w:szCs w:val="22"/>
              </w:rPr>
              <w:t xml:space="preserve">Délai de réception des candidatures </w:t>
            </w:r>
            <w:r w:rsidR="000326C4" w:rsidRPr="001E280C">
              <w:rPr>
                <w:rFonts w:asciiTheme="minorHAnsi" w:hAnsiTheme="minorHAnsi" w:cs="Calibri"/>
                <w:color w:val="000000"/>
                <w:sz w:val="22"/>
                <w:szCs w:val="22"/>
              </w:rPr>
              <w:t>(</w:t>
            </w:r>
            <w:r w:rsidRPr="001E280C">
              <w:rPr>
                <w:rFonts w:asciiTheme="minorHAnsi" w:hAnsiTheme="minorHAnsi" w:cs="Calibri"/>
                <w:color w:val="000000"/>
                <w:sz w:val="22"/>
                <w:szCs w:val="22"/>
              </w:rPr>
              <w:t xml:space="preserve">prévu </w:t>
            </w:r>
            <w:r w:rsidR="000326C4" w:rsidRPr="001E280C">
              <w:rPr>
                <w:rFonts w:asciiTheme="minorHAnsi" w:hAnsiTheme="minorHAnsi" w:cs="Calibri"/>
                <w:color w:val="000000"/>
                <w:sz w:val="22"/>
                <w:szCs w:val="22"/>
              </w:rPr>
              <w:t xml:space="preserve">et </w:t>
            </w:r>
            <w:r w:rsidR="00D02B8D" w:rsidRPr="001E280C">
              <w:rPr>
                <w:rFonts w:asciiTheme="minorHAnsi" w:hAnsiTheme="minorHAnsi" w:cs="Calibri"/>
                <w:color w:val="000000"/>
                <w:sz w:val="22"/>
                <w:szCs w:val="22"/>
              </w:rPr>
              <w:t>réel),</w:t>
            </w:r>
            <w:r w:rsidRPr="001E280C">
              <w:rPr>
                <w:rFonts w:asciiTheme="minorHAnsi" w:hAnsiTheme="minorHAnsi" w:cs="Calibri"/>
                <w:color w:val="000000"/>
                <w:sz w:val="22"/>
                <w:szCs w:val="22"/>
              </w:rPr>
              <w:t xml:space="preserve"> le cas échéant</w:t>
            </w:r>
          </w:p>
        </w:tc>
        <w:tc>
          <w:tcPr>
            <w:tcW w:w="6804" w:type="dxa"/>
            <w:shd w:val="clear" w:color="auto" w:fill="auto"/>
            <w:vAlign w:val="center"/>
          </w:tcPr>
          <w:p w:rsidR="008638C5" w:rsidRPr="001E280C" w:rsidRDefault="00915EA7" w:rsidP="00D02B8D">
            <w:pPr>
              <w:rPr>
                <w:rFonts w:asciiTheme="minorHAnsi" w:hAnsiTheme="minorHAnsi" w:cs="Calibri"/>
                <w:color w:val="000000"/>
                <w:sz w:val="22"/>
                <w:szCs w:val="22"/>
              </w:rPr>
            </w:pPr>
            <w:r w:rsidRPr="001E280C">
              <w:rPr>
                <w:rFonts w:asciiTheme="minorHAnsi" w:hAnsiTheme="minorHAnsi" w:cs="Calibri"/>
                <w:color w:val="000000"/>
                <w:sz w:val="22"/>
                <w:szCs w:val="22"/>
              </w:rPr>
              <w:t>Indiquer les délais du marché contrôlé</w:t>
            </w:r>
          </w:p>
        </w:tc>
      </w:tr>
      <w:tr w:rsidR="008638C5" w:rsidRPr="001E280C" w:rsidTr="00C032AC">
        <w:tblPrEx>
          <w:shd w:val="clear" w:color="auto" w:fill="auto"/>
        </w:tblPrEx>
        <w:trPr>
          <w:trHeight w:val="300"/>
        </w:trPr>
        <w:tc>
          <w:tcPr>
            <w:tcW w:w="3134" w:type="dxa"/>
            <w:shd w:val="clear" w:color="auto" w:fill="auto"/>
            <w:vAlign w:val="center"/>
          </w:tcPr>
          <w:p w:rsidR="008638C5" w:rsidRPr="001E280C" w:rsidRDefault="008638C5" w:rsidP="00D02B8D">
            <w:pPr>
              <w:rPr>
                <w:rFonts w:asciiTheme="minorHAnsi" w:hAnsiTheme="minorHAnsi" w:cs="Calibri"/>
                <w:color w:val="000000"/>
                <w:sz w:val="22"/>
                <w:szCs w:val="22"/>
              </w:rPr>
            </w:pPr>
            <w:r w:rsidRPr="001E280C">
              <w:rPr>
                <w:rFonts w:asciiTheme="minorHAnsi" w:hAnsiTheme="minorHAnsi" w:cs="Calibri"/>
                <w:color w:val="000000"/>
                <w:sz w:val="22"/>
                <w:szCs w:val="22"/>
              </w:rPr>
              <w:t xml:space="preserve">Délai de réception des offres </w:t>
            </w:r>
            <w:r w:rsidR="00D02B8D" w:rsidRPr="001E280C">
              <w:rPr>
                <w:rFonts w:asciiTheme="minorHAnsi" w:hAnsiTheme="minorHAnsi" w:cs="Calibri"/>
                <w:color w:val="000000"/>
                <w:sz w:val="22"/>
                <w:szCs w:val="22"/>
              </w:rPr>
              <w:t>(</w:t>
            </w:r>
            <w:r w:rsidRPr="001E280C">
              <w:rPr>
                <w:rFonts w:asciiTheme="minorHAnsi" w:hAnsiTheme="minorHAnsi" w:cs="Calibri"/>
                <w:color w:val="000000"/>
                <w:sz w:val="22"/>
                <w:szCs w:val="22"/>
              </w:rPr>
              <w:t xml:space="preserve">prévu </w:t>
            </w:r>
            <w:r w:rsidR="00D02B8D" w:rsidRPr="001E280C">
              <w:rPr>
                <w:rFonts w:asciiTheme="minorHAnsi" w:hAnsiTheme="minorHAnsi" w:cs="Calibri"/>
                <w:color w:val="000000"/>
                <w:sz w:val="22"/>
                <w:szCs w:val="22"/>
              </w:rPr>
              <w:t>et réel)</w:t>
            </w:r>
          </w:p>
        </w:tc>
        <w:tc>
          <w:tcPr>
            <w:tcW w:w="6804" w:type="dxa"/>
            <w:shd w:val="clear" w:color="auto" w:fill="auto"/>
            <w:vAlign w:val="center"/>
          </w:tcPr>
          <w:p w:rsidR="008638C5" w:rsidRPr="001E280C" w:rsidRDefault="00915EA7" w:rsidP="006A5B16">
            <w:pPr>
              <w:rPr>
                <w:rFonts w:asciiTheme="minorHAnsi" w:hAnsiTheme="minorHAnsi" w:cs="Calibri"/>
                <w:color w:val="000000"/>
                <w:sz w:val="22"/>
                <w:szCs w:val="22"/>
              </w:rPr>
            </w:pPr>
            <w:r w:rsidRPr="001E280C">
              <w:rPr>
                <w:rFonts w:asciiTheme="minorHAnsi" w:hAnsiTheme="minorHAnsi" w:cs="Calibri"/>
                <w:color w:val="000000"/>
                <w:sz w:val="22"/>
                <w:szCs w:val="22"/>
              </w:rPr>
              <w:t>Indiquer les délais du marché contrôlé</w:t>
            </w:r>
          </w:p>
        </w:tc>
      </w:tr>
      <w:tr w:rsidR="008638C5" w:rsidRPr="001E280C" w:rsidTr="00C032AC">
        <w:tblPrEx>
          <w:shd w:val="clear" w:color="auto" w:fill="auto"/>
        </w:tblPrEx>
        <w:trPr>
          <w:trHeight w:val="300"/>
        </w:trPr>
        <w:tc>
          <w:tcPr>
            <w:tcW w:w="3134" w:type="dxa"/>
            <w:shd w:val="clear" w:color="auto" w:fill="auto"/>
            <w:vAlign w:val="center"/>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Prolongation des délais, le cas échéant</w:t>
            </w:r>
          </w:p>
        </w:tc>
        <w:tc>
          <w:tcPr>
            <w:tcW w:w="6804" w:type="dxa"/>
            <w:shd w:val="clear" w:color="auto" w:fill="auto"/>
            <w:vAlign w:val="center"/>
          </w:tcPr>
          <w:p w:rsidR="008638C5" w:rsidRPr="001E280C" w:rsidRDefault="00D02B8D" w:rsidP="006A5B16">
            <w:pPr>
              <w:rPr>
                <w:rFonts w:asciiTheme="minorHAnsi" w:hAnsiTheme="minorHAnsi" w:cs="Calibri"/>
                <w:color w:val="000000"/>
                <w:sz w:val="22"/>
                <w:szCs w:val="22"/>
              </w:rPr>
            </w:pPr>
            <w:r w:rsidRPr="001E280C">
              <w:rPr>
                <w:rFonts w:asciiTheme="minorHAnsi" w:hAnsiTheme="minorHAnsi" w:cs="Calibri"/>
                <w:color w:val="000000"/>
                <w:sz w:val="22"/>
                <w:szCs w:val="22"/>
              </w:rPr>
              <w:t>Indiquer si le pouvoir adjudicateur a prolongé un ou les deux délais.</w:t>
            </w:r>
          </w:p>
        </w:tc>
      </w:tr>
      <w:tr w:rsidR="008638C5" w:rsidRPr="001E280C" w:rsidTr="00C032AC">
        <w:tblPrEx>
          <w:shd w:val="clear" w:color="auto" w:fill="auto"/>
        </w:tblPrEx>
        <w:trPr>
          <w:trHeight w:val="300"/>
        </w:trPr>
        <w:tc>
          <w:tcPr>
            <w:tcW w:w="3134" w:type="dxa"/>
            <w:shd w:val="clear" w:color="auto" w:fill="auto"/>
            <w:vAlign w:val="center"/>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Information sur les délais claire et communiquée</w:t>
            </w:r>
          </w:p>
        </w:tc>
        <w:tc>
          <w:tcPr>
            <w:tcW w:w="6804" w:type="dxa"/>
            <w:shd w:val="clear" w:color="auto" w:fill="auto"/>
            <w:vAlign w:val="center"/>
          </w:tcPr>
          <w:p w:rsidR="008638C5" w:rsidRPr="001E280C" w:rsidRDefault="00D02B8D" w:rsidP="006A5B16">
            <w:pPr>
              <w:rPr>
                <w:rFonts w:asciiTheme="minorHAnsi" w:hAnsiTheme="minorHAnsi" w:cs="Calibri"/>
                <w:color w:val="000000"/>
                <w:sz w:val="22"/>
                <w:szCs w:val="22"/>
              </w:rPr>
            </w:pPr>
            <w:r w:rsidRPr="001E280C">
              <w:rPr>
                <w:rFonts w:asciiTheme="minorHAnsi" w:hAnsiTheme="minorHAnsi" w:cs="Calibri"/>
                <w:color w:val="000000"/>
                <w:sz w:val="22"/>
                <w:szCs w:val="22"/>
              </w:rPr>
              <w:t>Vérifier si les candidats ont eu accès de manière égale à cette information (à vérifier également si prolongation des délais).</w:t>
            </w:r>
          </w:p>
        </w:tc>
      </w:tr>
      <w:tr w:rsidR="008638C5" w:rsidRPr="001E280C" w:rsidTr="00C032AC">
        <w:tblPrEx>
          <w:shd w:val="clear" w:color="auto" w:fill="auto"/>
        </w:tblPrEx>
        <w:trPr>
          <w:trHeight w:val="300"/>
        </w:trPr>
        <w:tc>
          <w:tcPr>
            <w:tcW w:w="3134" w:type="dxa"/>
            <w:shd w:val="clear" w:color="auto" w:fill="auto"/>
            <w:vAlign w:val="center"/>
          </w:tcPr>
          <w:p w:rsidR="008638C5" w:rsidRPr="001E280C" w:rsidRDefault="008638C5" w:rsidP="006A5B16">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804" w:type="dxa"/>
            <w:shd w:val="clear" w:color="auto" w:fill="auto"/>
            <w:vAlign w:val="center"/>
          </w:tcPr>
          <w:p w:rsidR="007E41BB" w:rsidRPr="001E280C" w:rsidRDefault="007E41BB" w:rsidP="007E41BB">
            <w:pPr>
              <w:rPr>
                <w:rFonts w:asciiTheme="minorHAnsi" w:hAnsiTheme="minorHAnsi" w:cs="Calibri"/>
                <w:i/>
                <w:color w:val="31849B" w:themeColor="accent5" w:themeShade="BF"/>
                <w:sz w:val="22"/>
                <w:szCs w:val="22"/>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2"/>
                <w:szCs w:val="22"/>
              </w:rPr>
              <w:t xml:space="preserve"> Tableaux relatifs aux délais édités par la DAJ :</w:t>
            </w:r>
          </w:p>
          <w:p w:rsidR="008638C5" w:rsidRPr="001E280C" w:rsidRDefault="00B227C8" w:rsidP="007E41BB">
            <w:pPr>
              <w:rPr>
                <w:rFonts w:asciiTheme="minorHAnsi" w:hAnsiTheme="minorHAnsi" w:cs="Calibri"/>
                <w:i/>
                <w:color w:val="31849B" w:themeColor="accent5" w:themeShade="BF"/>
                <w:sz w:val="22"/>
                <w:szCs w:val="22"/>
              </w:rPr>
            </w:pPr>
            <w:hyperlink r:id="rId36" w:history="1">
              <w:r w:rsidR="007E41BB" w:rsidRPr="001E280C">
                <w:rPr>
                  <w:rStyle w:val="Lienhypertexte"/>
                  <w:rFonts w:asciiTheme="minorHAnsi" w:hAnsiTheme="minorHAnsi" w:cs="Calibri"/>
                  <w:i/>
                  <w:color w:val="31849B" w:themeColor="accent5" w:themeShade="BF"/>
                  <w:sz w:val="22"/>
                  <w:szCs w:val="22"/>
                </w:rPr>
                <w:t>http://www.economie.gouv.fr/daj/conseil-acheteurs-tableaux</w:t>
              </w:r>
            </w:hyperlink>
          </w:p>
        </w:tc>
      </w:tr>
    </w:tbl>
    <w:p w:rsidR="00F512B1" w:rsidRPr="001E280C" w:rsidRDefault="00F512B1" w:rsidP="00DE5B0B">
      <w:pPr>
        <w:rPr>
          <w:rFonts w:asciiTheme="minorHAnsi" w:hAnsiTheme="minorHAnsi" w:cstheme="minorHAnsi"/>
        </w:rPr>
      </w:pPr>
    </w:p>
    <w:p w:rsidR="008638C5" w:rsidRPr="001E280C" w:rsidRDefault="008638C5" w:rsidP="00DE5B0B">
      <w:pPr>
        <w:rPr>
          <w:rFonts w:asciiTheme="minorHAnsi" w:hAnsiTheme="minorHAnsi" w:cstheme="minorHAnsi"/>
        </w:rPr>
      </w:pPr>
    </w:p>
    <w:tbl>
      <w:tblPr>
        <w:tblW w:w="10040" w:type="dxa"/>
        <w:tblInd w:w="55" w:type="dxa"/>
        <w:tblLayout w:type="fixed"/>
        <w:tblCellMar>
          <w:left w:w="70" w:type="dxa"/>
          <w:right w:w="70" w:type="dxa"/>
        </w:tblCellMar>
        <w:tblLook w:val="04A0" w:firstRow="1" w:lastRow="0" w:firstColumn="1" w:lastColumn="0" w:noHBand="0" w:noVBand="1"/>
      </w:tblPr>
      <w:tblGrid>
        <w:gridCol w:w="3134"/>
        <w:gridCol w:w="6906"/>
      </w:tblGrid>
      <w:tr w:rsidR="00806C9D" w:rsidRPr="001E280C" w:rsidTr="001F3E75">
        <w:trPr>
          <w:trHeight w:val="384"/>
        </w:trPr>
        <w:tc>
          <w:tcPr>
            <w:tcW w:w="10040" w:type="dxa"/>
            <w:gridSpan w:val="2"/>
            <w:tcBorders>
              <w:top w:val="single" w:sz="4" w:space="0" w:color="auto"/>
              <w:left w:val="single" w:sz="4" w:space="0" w:color="auto"/>
              <w:bottom w:val="single" w:sz="4" w:space="0" w:color="auto"/>
              <w:right w:val="single" w:sz="12" w:space="0" w:color="auto"/>
            </w:tcBorders>
            <w:shd w:val="clear" w:color="auto" w:fill="C2D69B"/>
            <w:vAlign w:val="center"/>
          </w:tcPr>
          <w:p w:rsidR="00806C9D" w:rsidRPr="001E280C" w:rsidRDefault="00806C9D" w:rsidP="006A5B16">
            <w:pPr>
              <w:jc w:val="center"/>
              <w:rPr>
                <w:rFonts w:asciiTheme="minorHAnsi" w:hAnsiTheme="minorHAnsi" w:cs="Calibri"/>
                <w:b/>
                <w:sz w:val="22"/>
                <w:szCs w:val="22"/>
              </w:rPr>
            </w:pPr>
            <w:r w:rsidRPr="001E280C">
              <w:rPr>
                <w:rFonts w:asciiTheme="minorHAnsi" w:hAnsiTheme="minorHAnsi" w:cs="Calibri"/>
                <w:b/>
                <w:sz w:val="24"/>
                <w:szCs w:val="24"/>
              </w:rPr>
              <w:t>EVALUATION DES CANDIDATURES ET SELECTION DES OFFRES</w:t>
            </w:r>
          </w:p>
        </w:tc>
      </w:tr>
      <w:tr w:rsidR="00806C9D" w:rsidRPr="001E280C" w:rsidTr="001F3E75">
        <w:trPr>
          <w:trHeight w:val="77"/>
        </w:trPr>
        <w:tc>
          <w:tcPr>
            <w:tcW w:w="10040" w:type="dxa"/>
            <w:gridSpan w:val="2"/>
            <w:tcBorders>
              <w:top w:val="single" w:sz="4" w:space="0" w:color="auto"/>
              <w:bottom w:val="single" w:sz="4" w:space="0" w:color="auto"/>
            </w:tcBorders>
            <w:shd w:val="clear" w:color="auto" w:fill="auto"/>
            <w:vAlign w:val="center"/>
          </w:tcPr>
          <w:p w:rsidR="00806C9D" w:rsidRPr="001E280C" w:rsidRDefault="00806C9D" w:rsidP="006A5B16">
            <w:pPr>
              <w:rPr>
                <w:rFonts w:asciiTheme="minorHAnsi" w:hAnsiTheme="minorHAnsi" w:cs="Calibri"/>
                <w:b/>
                <w:sz w:val="8"/>
                <w:szCs w:val="8"/>
              </w:rPr>
            </w:pPr>
          </w:p>
        </w:tc>
      </w:tr>
      <w:tr w:rsidR="00806C9D" w:rsidRPr="001E280C" w:rsidTr="001F3E75">
        <w:trPr>
          <w:trHeight w:val="153"/>
        </w:trPr>
        <w:tc>
          <w:tcPr>
            <w:tcW w:w="10040" w:type="dxa"/>
            <w:gridSpan w:val="2"/>
            <w:tcBorders>
              <w:top w:val="single" w:sz="4" w:space="0" w:color="auto"/>
              <w:left w:val="single" w:sz="4" w:space="0" w:color="auto"/>
              <w:bottom w:val="single" w:sz="4" w:space="0" w:color="auto"/>
              <w:right w:val="single" w:sz="12" w:space="0" w:color="auto"/>
            </w:tcBorders>
            <w:shd w:val="clear" w:color="auto" w:fill="002060"/>
            <w:vAlign w:val="center"/>
          </w:tcPr>
          <w:p w:rsidR="00806C9D" w:rsidRPr="001E280C" w:rsidRDefault="00806C9D" w:rsidP="006A5B16">
            <w:pPr>
              <w:rPr>
                <w:rFonts w:asciiTheme="minorHAnsi" w:hAnsiTheme="minorHAnsi" w:cs="Calibri"/>
                <w:color w:val="FFFFFF"/>
                <w:sz w:val="22"/>
                <w:szCs w:val="22"/>
              </w:rPr>
            </w:pPr>
            <w:r w:rsidRPr="001E280C">
              <w:rPr>
                <w:rFonts w:asciiTheme="minorHAnsi" w:hAnsiTheme="minorHAnsi" w:cs="Calibri"/>
                <w:color w:val="FFFFFF"/>
                <w:sz w:val="22"/>
                <w:szCs w:val="22"/>
              </w:rPr>
              <w:t>Elaboration des  critères d’évaluation des candidatures et de sélection des offres</w:t>
            </w:r>
          </w:p>
        </w:tc>
      </w:tr>
      <w:tr w:rsidR="00806C9D" w:rsidRPr="001E280C" w:rsidTr="001F3E75">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Critères clairement définis et non discriminant</w:t>
            </w:r>
            <w:r w:rsidR="00DF1859" w:rsidRPr="001E280C">
              <w:rPr>
                <w:rFonts w:asciiTheme="minorHAnsi" w:hAnsiTheme="minorHAnsi" w:cs="Calibri"/>
                <w:color w:val="000000"/>
                <w:sz w:val="22"/>
                <w:szCs w:val="22"/>
              </w:rPr>
              <w:t>s</w:t>
            </w:r>
            <w:r w:rsidRPr="001E280C">
              <w:rPr>
                <w:rFonts w:asciiTheme="minorHAnsi" w:hAnsiTheme="minorHAnsi" w:cs="Calibri"/>
                <w:color w:val="000000"/>
                <w:sz w:val="22"/>
                <w:szCs w:val="22"/>
              </w:rPr>
              <w:t>/illégaux</w:t>
            </w:r>
          </w:p>
        </w:tc>
        <w:tc>
          <w:tcPr>
            <w:tcW w:w="6906" w:type="dxa"/>
            <w:tcBorders>
              <w:top w:val="single" w:sz="4" w:space="0" w:color="auto"/>
              <w:left w:val="nil"/>
              <w:bottom w:val="single" w:sz="4" w:space="0" w:color="auto"/>
              <w:right w:val="single" w:sz="12" w:space="0" w:color="auto"/>
            </w:tcBorders>
            <w:shd w:val="clear" w:color="auto" w:fill="auto"/>
            <w:vAlign w:val="center"/>
            <w:hideMark/>
          </w:tcPr>
          <w:p w:rsidR="001F3E75" w:rsidRPr="001E280C" w:rsidRDefault="00806C9D" w:rsidP="001F3E75">
            <w:pPr>
              <w:rPr>
                <w:rFonts w:asciiTheme="minorHAnsi" w:hAnsiTheme="minorHAnsi" w:cs="Calibri"/>
                <w:i/>
                <w:color w:val="31849B" w:themeColor="accent5" w:themeShade="BF"/>
                <w:sz w:val="24"/>
                <w:szCs w:val="24"/>
              </w:rPr>
            </w:pPr>
            <w:r w:rsidRPr="001E280C">
              <w:rPr>
                <w:rFonts w:asciiTheme="minorHAnsi" w:hAnsiTheme="minorHAnsi" w:cs="Calibri"/>
                <w:color w:val="000000"/>
                <w:sz w:val="22"/>
                <w:szCs w:val="22"/>
              </w:rPr>
              <w:t> </w:t>
            </w:r>
            <w:r w:rsidR="001F3E75" w:rsidRPr="001E280C">
              <w:rPr>
                <w:rFonts w:asciiTheme="minorHAnsi" w:hAnsiTheme="minorHAnsi" w:cs="Calibri"/>
                <w:i/>
                <w:color w:val="31849B" w:themeColor="accent5" w:themeShade="BF"/>
                <w:sz w:val="24"/>
                <w:szCs w:val="24"/>
              </w:rPr>
              <w:sym w:font="Webdings" w:char="F0A8"/>
            </w:r>
            <w:r w:rsidR="001F3E75" w:rsidRPr="001E280C">
              <w:rPr>
                <w:rFonts w:asciiTheme="minorHAnsi" w:hAnsiTheme="minorHAnsi" w:cs="Calibri"/>
                <w:i/>
                <w:color w:val="31849B" w:themeColor="accent5" w:themeShade="BF"/>
                <w:sz w:val="24"/>
                <w:szCs w:val="24"/>
              </w:rPr>
              <w:t xml:space="preserve"> </w:t>
            </w:r>
            <w:r w:rsidR="001F3E75" w:rsidRPr="001E280C">
              <w:rPr>
                <w:rFonts w:asciiTheme="minorHAnsi" w:hAnsiTheme="minorHAnsi" w:cs="Calibri"/>
                <w:i/>
                <w:color w:val="31849B" w:themeColor="accent5" w:themeShade="BF"/>
                <w:sz w:val="22"/>
                <w:szCs w:val="22"/>
              </w:rPr>
              <w:t xml:space="preserve">Points 15 de </w:t>
            </w:r>
            <w:r w:rsidR="00B00DE6">
              <w:rPr>
                <w:rFonts w:asciiTheme="minorHAnsi" w:hAnsiTheme="minorHAnsi" w:cs="Calibri"/>
                <w:i/>
                <w:color w:val="31849B" w:themeColor="accent5" w:themeShade="BF"/>
                <w:sz w:val="22"/>
                <w:szCs w:val="22"/>
              </w:rPr>
              <w:t>la Circulaire du 14 février 2014</w:t>
            </w:r>
            <w:r w:rsidR="001F3E75" w:rsidRPr="001E280C">
              <w:rPr>
                <w:rFonts w:asciiTheme="minorHAnsi" w:hAnsiTheme="minorHAnsi" w:cs="Calibri"/>
                <w:i/>
                <w:color w:val="31849B" w:themeColor="accent5" w:themeShade="BF"/>
                <w:sz w:val="22"/>
                <w:szCs w:val="22"/>
              </w:rPr>
              <w:t xml:space="preserve"> relative au Guide de bonnes pratiques en matière de marchés publics</w:t>
            </w:r>
            <w:r w:rsidR="001F3E75" w:rsidRPr="001E280C">
              <w:rPr>
                <w:rFonts w:asciiTheme="minorHAnsi" w:hAnsiTheme="minorHAnsi" w:cs="Calibri"/>
                <w:i/>
                <w:color w:val="31849B" w:themeColor="accent5" w:themeShade="BF"/>
                <w:sz w:val="24"/>
                <w:szCs w:val="24"/>
              </w:rPr>
              <w:t xml:space="preserve"> </w:t>
            </w:r>
          </w:p>
          <w:p w:rsidR="00806C9D" w:rsidRDefault="00B227C8" w:rsidP="001F3E75">
            <w:pPr>
              <w:rPr>
                <w:rStyle w:val="Lienhypertexte"/>
                <w:rFonts w:asciiTheme="minorHAnsi" w:hAnsiTheme="minorHAnsi" w:cs="Calibri"/>
                <w:i/>
                <w:color w:val="31849B" w:themeColor="accent5" w:themeShade="BF"/>
                <w:sz w:val="22"/>
                <w:szCs w:val="22"/>
              </w:rPr>
            </w:pPr>
            <w:hyperlink r:id="rId37" w:history="1">
              <w:r w:rsidR="00511113" w:rsidRPr="008A08E3">
                <w:rPr>
                  <w:rStyle w:val="Lienhypertexte"/>
                  <w:rFonts w:asciiTheme="minorHAnsi" w:hAnsiTheme="minorHAnsi" w:cs="Calibri"/>
                  <w:i/>
                  <w:sz w:val="22"/>
                  <w:szCs w:val="22"/>
                </w:rPr>
                <w:t>https://www.economie.gouv.fr/files/files/directions_services/daj/marches_publics/conseil_acheteurs/guides/guide-bonnes-pratiques-mp.pdf</w:t>
              </w:r>
            </w:hyperlink>
          </w:p>
          <w:p w:rsidR="00511113" w:rsidRPr="001E280C" w:rsidRDefault="00511113" w:rsidP="001F3E75">
            <w:pPr>
              <w:rPr>
                <w:rFonts w:asciiTheme="minorHAnsi" w:hAnsiTheme="minorHAnsi" w:cs="Calibri"/>
                <w:color w:val="000000"/>
                <w:sz w:val="22"/>
                <w:szCs w:val="22"/>
              </w:rPr>
            </w:pPr>
          </w:p>
        </w:tc>
      </w:tr>
      <w:tr w:rsidR="00806C9D" w:rsidRPr="001E280C" w:rsidTr="001F3E75">
        <w:trPr>
          <w:trHeight w:val="300"/>
        </w:trPr>
        <w:tc>
          <w:tcPr>
            <w:tcW w:w="10040" w:type="dxa"/>
            <w:gridSpan w:val="2"/>
            <w:tcBorders>
              <w:top w:val="single" w:sz="4" w:space="0" w:color="auto"/>
              <w:left w:val="single" w:sz="4" w:space="0" w:color="auto"/>
              <w:bottom w:val="single" w:sz="4" w:space="0" w:color="auto"/>
              <w:right w:val="single" w:sz="12" w:space="0" w:color="auto"/>
            </w:tcBorders>
            <w:shd w:val="clear" w:color="auto" w:fill="002060"/>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FFFFFF"/>
                <w:sz w:val="22"/>
                <w:szCs w:val="22"/>
              </w:rPr>
              <w:t>Communication des  critères d’évaluation des candidatures et de sélection des offres</w:t>
            </w:r>
          </w:p>
        </w:tc>
      </w:tr>
      <w:tr w:rsidR="00806C9D" w:rsidRPr="001E280C" w:rsidTr="001F3E75">
        <w:trPr>
          <w:trHeight w:val="6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Pièces présentes au dossier</w:t>
            </w:r>
          </w:p>
        </w:tc>
        <w:tc>
          <w:tcPr>
            <w:tcW w:w="6906" w:type="dxa"/>
            <w:tcBorders>
              <w:top w:val="single" w:sz="4" w:space="0" w:color="auto"/>
              <w:left w:val="nil"/>
              <w:bottom w:val="single" w:sz="4" w:space="0" w:color="auto"/>
              <w:right w:val="single" w:sz="12"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806C9D" w:rsidRPr="001E280C" w:rsidTr="001F3E75">
        <w:trPr>
          <w:trHeight w:val="6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Communication des critères d'évaluation de l'aptitude des soumissionnaires et de sélection des offres</w:t>
            </w:r>
          </w:p>
        </w:tc>
        <w:tc>
          <w:tcPr>
            <w:tcW w:w="6906" w:type="dxa"/>
            <w:tcBorders>
              <w:top w:val="single" w:sz="4" w:space="0" w:color="auto"/>
              <w:left w:val="nil"/>
              <w:bottom w:val="single" w:sz="4" w:space="0" w:color="auto"/>
              <w:right w:val="single" w:sz="12" w:space="0" w:color="auto"/>
            </w:tcBorders>
            <w:shd w:val="clear" w:color="auto" w:fill="auto"/>
            <w:vAlign w:val="center"/>
          </w:tcPr>
          <w:p w:rsidR="00184C39" w:rsidRPr="001E280C" w:rsidRDefault="00184C39" w:rsidP="00184C39">
            <w:pPr>
              <w:rPr>
                <w:rFonts w:asciiTheme="minorHAnsi" w:hAnsiTheme="minorHAnsi" w:cs="Calibri"/>
                <w:i/>
                <w:color w:val="31849B" w:themeColor="accent5" w:themeShade="BF"/>
                <w:sz w:val="24"/>
                <w:szCs w:val="24"/>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4"/>
                <w:szCs w:val="24"/>
              </w:rPr>
              <w:t xml:space="preserve"> </w:t>
            </w:r>
            <w:r w:rsidR="00B00DE6">
              <w:rPr>
                <w:rFonts w:asciiTheme="minorHAnsi" w:hAnsiTheme="minorHAnsi" w:cs="Calibri"/>
                <w:i/>
                <w:color w:val="31849B" w:themeColor="accent5" w:themeShade="BF"/>
                <w:sz w:val="22"/>
                <w:szCs w:val="22"/>
              </w:rPr>
              <w:t xml:space="preserve">Point 15 </w:t>
            </w:r>
            <w:r w:rsidRPr="001E280C">
              <w:rPr>
                <w:rFonts w:asciiTheme="minorHAnsi" w:hAnsiTheme="minorHAnsi" w:cs="Calibri"/>
                <w:i/>
                <w:color w:val="31849B" w:themeColor="accent5" w:themeShade="BF"/>
                <w:sz w:val="22"/>
                <w:szCs w:val="22"/>
              </w:rPr>
              <w:t xml:space="preserve"> de </w:t>
            </w:r>
            <w:r w:rsidR="00B00DE6">
              <w:rPr>
                <w:rFonts w:asciiTheme="minorHAnsi" w:hAnsiTheme="minorHAnsi" w:cs="Calibri"/>
                <w:i/>
                <w:color w:val="31849B" w:themeColor="accent5" w:themeShade="BF"/>
                <w:sz w:val="22"/>
                <w:szCs w:val="22"/>
              </w:rPr>
              <w:t xml:space="preserve">la Circulaire du 14 février 2014 </w:t>
            </w:r>
            <w:r w:rsidRPr="001E280C">
              <w:rPr>
                <w:rFonts w:asciiTheme="minorHAnsi" w:hAnsiTheme="minorHAnsi" w:cs="Calibri"/>
                <w:i/>
                <w:color w:val="31849B" w:themeColor="accent5" w:themeShade="BF"/>
                <w:sz w:val="22"/>
                <w:szCs w:val="22"/>
              </w:rPr>
              <w:t xml:space="preserve"> relative au Guide de bonnes pratiques en matière de marchés publics</w:t>
            </w:r>
            <w:r w:rsidRPr="001E280C">
              <w:rPr>
                <w:rFonts w:asciiTheme="minorHAnsi" w:hAnsiTheme="minorHAnsi" w:cs="Calibri"/>
                <w:i/>
                <w:color w:val="31849B" w:themeColor="accent5" w:themeShade="BF"/>
                <w:sz w:val="24"/>
                <w:szCs w:val="24"/>
              </w:rPr>
              <w:t xml:space="preserve"> </w:t>
            </w:r>
          </w:p>
          <w:p w:rsidR="00806C9D" w:rsidRDefault="00B227C8" w:rsidP="00184C39">
            <w:pPr>
              <w:rPr>
                <w:rStyle w:val="Lienhypertexte"/>
                <w:rFonts w:asciiTheme="minorHAnsi" w:hAnsiTheme="minorHAnsi" w:cs="Calibri"/>
                <w:i/>
                <w:color w:val="31849B" w:themeColor="accent5" w:themeShade="BF"/>
                <w:sz w:val="22"/>
                <w:szCs w:val="22"/>
              </w:rPr>
            </w:pPr>
            <w:hyperlink r:id="rId38" w:history="1">
              <w:r w:rsidR="00511113" w:rsidRPr="008A08E3">
                <w:rPr>
                  <w:rStyle w:val="Lienhypertexte"/>
                  <w:rFonts w:asciiTheme="minorHAnsi" w:hAnsiTheme="minorHAnsi" w:cs="Calibri"/>
                  <w:i/>
                  <w:sz w:val="22"/>
                  <w:szCs w:val="22"/>
                </w:rPr>
                <w:t>https://www.economie.gouv.fr/files/files/directions_services/daj/marches_publics/conseil_acheteurs/guides/guide-bonnes-pratiques-mp.pdf</w:t>
              </w:r>
            </w:hyperlink>
          </w:p>
          <w:p w:rsidR="00511113" w:rsidRPr="001E280C" w:rsidRDefault="00511113" w:rsidP="00184C39">
            <w:pPr>
              <w:rPr>
                <w:rFonts w:asciiTheme="minorHAnsi" w:hAnsiTheme="minorHAnsi" w:cs="Calibri"/>
                <w:color w:val="000000"/>
                <w:sz w:val="22"/>
                <w:szCs w:val="22"/>
              </w:rPr>
            </w:pPr>
          </w:p>
        </w:tc>
      </w:tr>
      <w:tr w:rsidR="00806C9D" w:rsidRPr="001E280C" w:rsidTr="001F3E75">
        <w:trPr>
          <w:trHeight w:val="9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Communication de la pondération/hiérarchisation des critères</w:t>
            </w:r>
          </w:p>
        </w:tc>
        <w:tc>
          <w:tcPr>
            <w:tcW w:w="6906" w:type="dxa"/>
            <w:tcBorders>
              <w:top w:val="single" w:sz="4" w:space="0" w:color="auto"/>
              <w:left w:val="nil"/>
              <w:bottom w:val="single" w:sz="4" w:space="0" w:color="auto"/>
              <w:right w:val="single" w:sz="12" w:space="0" w:color="auto"/>
            </w:tcBorders>
            <w:shd w:val="clear" w:color="auto" w:fill="auto"/>
            <w:vAlign w:val="center"/>
            <w:hideMark/>
          </w:tcPr>
          <w:p w:rsidR="00184C39" w:rsidRPr="001E280C" w:rsidRDefault="00806C9D" w:rsidP="00184C39">
            <w:pPr>
              <w:rPr>
                <w:rFonts w:asciiTheme="minorHAnsi" w:hAnsiTheme="minorHAnsi" w:cs="Calibri"/>
                <w:i/>
                <w:color w:val="31849B" w:themeColor="accent5" w:themeShade="BF"/>
                <w:sz w:val="24"/>
                <w:szCs w:val="24"/>
              </w:rPr>
            </w:pPr>
            <w:r w:rsidRPr="001E280C">
              <w:rPr>
                <w:rFonts w:asciiTheme="minorHAnsi" w:hAnsiTheme="minorHAnsi" w:cs="Calibri"/>
                <w:color w:val="000000"/>
                <w:sz w:val="22"/>
                <w:szCs w:val="22"/>
              </w:rPr>
              <w:t> </w:t>
            </w:r>
            <w:r w:rsidR="00184C39" w:rsidRPr="001E280C">
              <w:rPr>
                <w:rFonts w:asciiTheme="minorHAnsi" w:hAnsiTheme="minorHAnsi" w:cs="Calibri"/>
                <w:i/>
                <w:color w:val="31849B" w:themeColor="accent5" w:themeShade="BF"/>
                <w:sz w:val="24"/>
                <w:szCs w:val="24"/>
              </w:rPr>
              <w:sym w:font="Webdings" w:char="F0A8"/>
            </w:r>
            <w:r w:rsidR="00184C39" w:rsidRPr="001E280C">
              <w:rPr>
                <w:rFonts w:asciiTheme="minorHAnsi" w:hAnsiTheme="minorHAnsi" w:cs="Calibri"/>
                <w:i/>
                <w:color w:val="31849B" w:themeColor="accent5" w:themeShade="BF"/>
                <w:sz w:val="24"/>
                <w:szCs w:val="24"/>
              </w:rPr>
              <w:t xml:space="preserve"> </w:t>
            </w:r>
            <w:r w:rsidR="00511113">
              <w:rPr>
                <w:rFonts w:asciiTheme="minorHAnsi" w:hAnsiTheme="minorHAnsi" w:cs="Calibri"/>
                <w:i/>
                <w:color w:val="31849B" w:themeColor="accent5" w:themeShade="BF"/>
                <w:sz w:val="22"/>
                <w:szCs w:val="22"/>
              </w:rPr>
              <w:t>Point 15</w:t>
            </w:r>
            <w:r w:rsidR="00184C39" w:rsidRPr="001E280C">
              <w:rPr>
                <w:rFonts w:asciiTheme="minorHAnsi" w:hAnsiTheme="minorHAnsi" w:cs="Calibri"/>
                <w:i/>
                <w:color w:val="31849B" w:themeColor="accent5" w:themeShade="BF"/>
                <w:sz w:val="22"/>
                <w:szCs w:val="22"/>
              </w:rPr>
              <w:t xml:space="preserve"> de la </w:t>
            </w:r>
            <w:r w:rsidR="00511113">
              <w:rPr>
                <w:rFonts w:asciiTheme="minorHAnsi" w:hAnsiTheme="minorHAnsi" w:cs="Calibri"/>
                <w:i/>
                <w:color w:val="31849B" w:themeColor="accent5" w:themeShade="BF"/>
                <w:sz w:val="22"/>
                <w:szCs w:val="22"/>
              </w:rPr>
              <w:t>Circulaire du 14 février 2014</w:t>
            </w:r>
            <w:r w:rsidR="00184C39" w:rsidRPr="001E280C">
              <w:rPr>
                <w:rFonts w:asciiTheme="minorHAnsi" w:hAnsiTheme="minorHAnsi" w:cs="Calibri"/>
                <w:i/>
                <w:color w:val="31849B" w:themeColor="accent5" w:themeShade="BF"/>
                <w:sz w:val="22"/>
                <w:szCs w:val="22"/>
              </w:rPr>
              <w:t xml:space="preserve"> relative au Guide de bonnes pratiques en matière de marchés publics</w:t>
            </w:r>
            <w:r w:rsidR="00184C39" w:rsidRPr="001E280C">
              <w:rPr>
                <w:rFonts w:asciiTheme="minorHAnsi" w:hAnsiTheme="minorHAnsi" w:cs="Calibri"/>
                <w:i/>
                <w:color w:val="31849B" w:themeColor="accent5" w:themeShade="BF"/>
                <w:sz w:val="24"/>
                <w:szCs w:val="24"/>
              </w:rPr>
              <w:t xml:space="preserve"> </w:t>
            </w:r>
          </w:p>
          <w:p w:rsidR="00806C9D" w:rsidRDefault="00B227C8" w:rsidP="00184C39">
            <w:pPr>
              <w:rPr>
                <w:rStyle w:val="Lienhypertexte"/>
                <w:rFonts w:asciiTheme="minorHAnsi" w:hAnsiTheme="minorHAnsi" w:cs="Calibri"/>
                <w:i/>
                <w:color w:val="31849B" w:themeColor="accent5" w:themeShade="BF"/>
                <w:sz w:val="22"/>
                <w:szCs w:val="22"/>
              </w:rPr>
            </w:pPr>
            <w:hyperlink r:id="rId39" w:history="1">
              <w:r w:rsidR="00511113" w:rsidRPr="008A08E3">
                <w:rPr>
                  <w:rStyle w:val="Lienhypertexte"/>
                  <w:rFonts w:asciiTheme="minorHAnsi" w:hAnsiTheme="minorHAnsi" w:cs="Calibri"/>
                  <w:i/>
                  <w:sz w:val="22"/>
                  <w:szCs w:val="22"/>
                </w:rPr>
                <w:t>https://www.economie.gouv.fr/files/files/directions_services/daj/marches_publics/conseil_acheteurs/guides/guide-bonnes-pratiques-mp.pdf</w:t>
              </w:r>
            </w:hyperlink>
          </w:p>
          <w:p w:rsidR="00511113" w:rsidRPr="001E280C" w:rsidRDefault="00511113" w:rsidP="00184C39">
            <w:pPr>
              <w:rPr>
                <w:rFonts w:asciiTheme="minorHAnsi" w:hAnsiTheme="minorHAnsi" w:cs="Calibri"/>
                <w:color w:val="000000"/>
                <w:sz w:val="22"/>
                <w:szCs w:val="22"/>
              </w:rPr>
            </w:pPr>
          </w:p>
        </w:tc>
      </w:tr>
      <w:tr w:rsidR="00806C9D" w:rsidRPr="001E280C" w:rsidTr="001F3E75">
        <w:trPr>
          <w:trHeight w:val="52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906" w:type="dxa"/>
            <w:tcBorders>
              <w:top w:val="single" w:sz="4" w:space="0" w:color="auto"/>
              <w:left w:val="nil"/>
              <w:bottom w:val="single" w:sz="4" w:space="0" w:color="auto"/>
              <w:right w:val="single" w:sz="12"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806C9D" w:rsidRPr="001E280C" w:rsidTr="001F3E75">
        <w:trPr>
          <w:trHeight w:val="272"/>
        </w:trPr>
        <w:tc>
          <w:tcPr>
            <w:tcW w:w="10040" w:type="dxa"/>
            <w:gridSpan w:val="2"/>
            <w:tcBorders>
              <w:top w:val="single" w:sz="4" w:space="0" w:color="auto"/>
              <w:left w:val="single" w:sz="4" w:space="0" w:color="auto"/>
              <w:bottom w:val="single" w:sz="4" w:space="0" w:color="auto"/>
              <w:right w:val="single" w:sz="12" w:space="0" w:color="auto"/>
            </w:tcBorders>
            <w:shd w:val="clear" w:color="auto" w:fill="002060"/>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FFFFFF"/>
                <w:sz w:val="22"/>
                <w:szCs w:val="22"/>
              </w:rPr>
              <w:t>Examen des candidatures et des offres et attribution du marché</w:t>
            </w:r>
          </w:p>
        </w:tc>
      </w:tr>
      <w:tr w:rsidR="00806C9D" w:rsidRPr="001E280C" w:rsidTr="001F3E75">
        <w:trPr>
          <w:trHeight w:val="27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Pièces présentes au dossier</w:t>
            </w:r>
          </w:p>
        </w:tc>
        <w:tc>
          <w:tcPr>
            <w:tcW w:w="6906" w:type="dxa"/>
            <w:tcBorders>
              <w:top w:val="single" w:sz="4" w:space="0" w:color="auto"/>
              <w:left w:val="nil"/>
              <w:bottom w:val="single" w:sz="4" w:space="0" w:color="auto"/>
              <w:right w:val="single" w:sz="12"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p>
        </w:tc>
      </w:tr>
      <w:tr w:rsidR="00806C9D" w:rsidRPr="001E280C" w:rsidTr="001F3E75">
        <w:trPr>
          <w:trHeight w:val="27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Respect de la procédure de sélection (CAO…)</w:t>
            </w:r>
          </w:p>
        </w:tc>
        <w:tc>
          <w:tcPr>
            <w:tcW w:w="6906" w:type="dxa"/>
            <w:tcBorders>
              <w:top w:val="single" w:sz="4" w:space="0" w:color="auto"/>
              <w:left w:val="nil"/>
              <w:bottom w:val="single" w:sz="4" w:space="0" w:color="auto"/>
              <w:right w:val="single" w:sz="12"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p>
        </w:tc>
      </w:tr>
      <w:tr w:rsidR="00806C9D" w:rsidRPr="001E280C" w:rsidTr="001F3E75">
        <w:trPr>
          <w:trHeight w:val="27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Evaluation de l'aptitude des soumissionnaires conforme à la publicité</w:t>
            </w:r>
          </w:p>
        </w:tc>
        <w:tc>
          <w:tcPr>
            <w:tcW w:w="6906" w:type="dxa"/>
            <w:tcBorders>
              <w:top w:val="single" w:sz="4" w:space="0" w:color="auto"/>
              <w:left w:val="nil"/>
              <w:bottom w:val="single" w:sz="4" w:space="0" w:color="auto"/>
              <w:right w:val="single" w:sz="12"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p>
        </w:tc>
      </w:tr>
      <w:tr w:rsidR="00806C9D" w:rsidRPr="001E280C" w:rsidTr="001F3E75">
        <w:trPr>
          <w:trHeight w:val="27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Examen formalisé des offres et évaluation des offres conforme aux critères publiés</w:t>
            </w:r>
          </w:p>
        </w:tc>
        <w:tc>
          <w:tcPr>
            <w:tcW w:w="6906" w:type="dxa"/>
            <w:tcBorders>
              <w:top w:val="single" w:sz="4" w:space="0" w:color="auto"/>
              <w:left w:val="nil"/>
              <w:bottom w:val="single" w:sz="4" w:space="0" w:color="auto"/>
              <w:right w:val="single" w:sz="12" w:space="0" w:color="auto"/>
            </w:tcBorders>
            <w:shd w:val="clear" w:color="auto" w:fill="auto"/>
            <w:vAlign w:val="center"/>
          </w:tcPr>
          <w:p w:rsidR="00806C9D" w:rsidRPr="001E280C" w:rsidRDefault="00544617" w:rsidP="006A5B16">
            <w:pPr>
              <w:rPr>
                <w:rFonts w:asciiTheme="minorHAnsi" w:hAnsiTheme="minorHAnsi" w:cs="Calibri"/>
                <w:color w:val="000000"/>
                <w:sz w:val="22"/>
                <w:szCs w:val="22"/>
              </w:rPr>
            </w:pPr>
            <w:r w:rsidRPr="001E280C">
              <w:rPr>
                <w:rFonts w:asciiTheme="minorHAnsi" w:hAnsiTheme="minorHAnsi" w:cs="Calibri"/>
                <w:color w:val="000000"/>
                <w:sz w:val="22"/>
                <w:szCs w:val="22"/>
              </w:rPr>
              <w:t>Vérifier notamment le rejet des offres anormalement basses et l’absence de conflits d’intérêt.</w:t>
            </w:r>
          </w:p>
          <w:p w:rsidR="0081412C" w:rsidRPr="001E280C" w:rsidRDefault="0081412C" w:rsidP="0081412C">
            <w:pPr>
              <w:rPr>
                <w:rFonts w:asciiTheme="minorHAnsi" w:hAnsiTheme="minorHAnsi" w:cs="Calibri"/>
                <w:i/>
                <w:color w:val="31849B" w:themeColor="accent5" w:themeShade="BF"/>
                <w:sz w:val="22"/>
                <w:szCs w:val="22"/>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2"/>
                <w:szCs w:val="22"/>
              </w:rPr>
              <w:t xml:space="preserve"> Fiches techniques éditées par la DAJ :</w:t>
            </w:r>
          </w:p>
          <w:p w:rsidR="00544617" w:rsidRPr="001E280C" w:rsidRDefault="00B227C8" w:rsidP="006A5B16">
            <w:pPr>
              <w:rPr>
                <w:rStyle w:val="Lienhypertexte"/>
                <w:rFonts w:asciiTheme="minorHAnsi" w:hAnsiTheme="minorHAnsi"/>
                <w:i/>
                <w:color w:val="31849B" w:themeColor="accent5" w:themeShade="BF"/>
                <w:sz w:val="22"/>
                <w:szCs w:val="22"/>
              </w:rPr>
            </w:pPr>
            <w:hyperlink r:id="rId40" w:history="1">
              <w:r w:rsidR="0081412C" w:rsidRPr="001E280C">
                <w:rPr>
                  <w:rStyle w:val="Lienhypertexte"/>
                  <w:rFonts w:asciiTheme="minorHAnsi" w:hAnsiTheme="minorHAnsi"/>
                  <w:i/>
                  <w:sz w:val="22"/>
                  <w:szCs w:val="22"/>
                </w:rPr>
                <w:t>http://www.economie.gouv.fr/daj/conseil-acheteurs-fiches-techniques</w:t>
              </w:r>
            </w:hyperlink>
          </w:p>
          <w:p w:rsidR="00221390" w:rsidRPr="001E280C" w:rsidRDefault="00511113" w:rsidP="00221390">
            <w:pPr>
              <w:rPr>
                <w:rFonts w:asciiTheme="minorHAnsi" w:hAnsiTheme="minorHAnsi" w:cs="Calibri"/>
                <w:i/>
                <w:color w:val="31849B" w:themeColor="accent5" w:themeShade="BF"/>
                <w:sz w:val="24"/>
                <w:szCs w:val="24"/>
              </w:rPr>
            </w:pPr>
            <w:r>
              <w:rPr>
                <w:rFonts w:asciiTheme="minorHAnsi" w:hAnsiTheme="minorHAnsi" w:cs="Calibri"/>
                <w:i/>
                <w:color w:val="31849B" w:themeColor="accent5" w:themeShade="BF"/>
                <w:sz w:val="22"/>
                <w:szCs w:val="22"/>
              </w:rPr>
              <w:t xml:space="preserve">Point 15 </w:t>
            </w:r>
            <w:r w:rsidR="00221390" w:rsidRPr="001E280C">
              <w:rPr>
                <w:rFonts w:asciiTheme="minorHAnsi" w:hAnsiTheme="minorHAnsi" w:cs="Calibri"/>
                <w:i/>
                <w:color w:val="31849B" w:themeColor="accent5" w:themeShade="BF"/>
                <w:sz w:val="22"/>
                <w:szCs w:val="22"/>
              </w:rPr>
              <w:t xml:space="preserve">de </w:t>
            </w:r>
            <w:r>
              <w:rPr>
                <w:rFonts w:asciiTheme="minorHAnsi" w:hAnsiTheme="minorHAnsi" w:cs="Calibri"/>
                <w:i/>
                <w:color w:val="31849B" w:themeColor="accent5" w:themeShade="BF"/>
                <w:sz w:val="22"/>
                <w:szCs w:val="22"/>
              </w:rPr>
              <w:t>la Circulaire du 14 février 2014</w:t>
            </w:r>
            <w:r w:rsidR="00221390" w:rsidRPr="001E280C">
              <w:rPr>
                <w:rFonts w:asciiTheme="minorHAnsi" w:hAnsiTheme="minorHAnsi" w:cs="Calibri"/>
                <w:i/>
                <w:color w:val="31849B" w:themeColor="accent5" w:themeShade="BF"/>
                <w:sz w:val="22"/>
                <w:szCs w:val="22"/>
              </w:rPr>
              <w:t xml:space="preserve"> relative au Guide de bonnes pratiques en matière de marchés publics</w:t>
            </w:r>
            <w:r w:rsidR="00221390" w:rsidRPr="001E280C">
              <w:rPr>
                <w:rFonts w:asciiTheme="minorHAnsi" w:hAnsiTheme="minorHAnsi" w:cs="Calibri"/>
                <w:i/>
                <w:color w:val="31849B" w:themeColor="accent5" w:themeShade="BF"/>
                <w:sz w:val="24"/>
                <w:szCs w:val="24"/>
              </w:rPr>
              <w:t xml:space="preserve"> </w:t>
            </w:r>
          </w:p>
          <w:p w:rsidR="00221390" w:rsidRDefault="00B227C8" w:rsidP="00221390">
            <w:pPr>
              <w:rPr>
                <w:rStyle w:val="Lienhypertexte"/>
                <w:rFonts w:asciiTheme="minorHAnsi" w:hAnsiTheme="minorHAnsi" w:cs="Calibri"/>
                <w:i/>
                <w:color w:val="31849B" w:themeColor="accent5" w:themeShade="BF"/>
                <w:sz w:val="22"/>
                <w:szCs w:val="22"/>
              </w:rPr>
            </w:pPr>
            <w:hyperlink r:id="rId41" w:history="1">
              <w:r w:rsidR="00511113" w:rsidRPr="008A08E3">
                <w:rPr>
                  <w:rStyle w:val="Lienhypertexte"/>
                  <w:rFonts w:asciiTheme="minorHAnsi" w:hAnsiTheme="minorHAnsi" w:cs="Calibri"/>
                  <w:i/>
                  <w:sz w:val="22"/>
                  <w:szCs w:val="22"/>
                </w:rPr>
                <w:t>https://www.economie.gouv.fr/files/files/directions_services/daj/marches_publics/conseil_acheteurs/guides/guide-bonnes-pratiques-mp.pdf</w:t>
              </w:r>
            </w:hyperlink>
          </w:p>
          <w:p w:rsidR="00511113" w:rsidRPr="001E280C" w:rsidRDefault="00511113" w:rsidP="00221390">
            <w:pPr>
              <w:rPr>
                <w:rFonts w:asciiTheme="minorHAnsi" w:hAnsiTheme="minorHAnsi"/>
                <w:i/>
                <w:color w:val="31849B" w:themeColor="accent5" w:themeShade="BF"/>
                <w:sz w:val="22"/>
                <w:szCs w:val="22"/>
                <w:u w:val="single"/>
              </w:rPr>
            </w:pPr>
          </w:p>
        </w:tc>
      </w:tr>
      <w:tr w:rsidR="00806C9D" w:rsidRPr="001E280C" w:rsidTr="001F3E75">
        <w:trPr>
          <w:trHeight w:val="27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Résultats de la consultation communiqués et conforme au type de procédure</w:t>
            </w:r>
          </w:p>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(notification de la décision d'attribution du marché et information par écrit du rejet des offres)</w:t>
            </w:r>
          </w:p>
        </w:tc>
        <w:tc>
          <w:tcPr>
            <w:tcW w:w="6906" w:type="dxa"/>
            <w:tcBorders>
              <w:top w:val="single" w:sz="4" w:space="0" w:color="auto"/>
              <w:left w:val="nil"/>
              <w:bottom w:val="single" w:sz="4" w:space="0" w:color="auto"/>
              <w:right w:val="single" w:sz="12" w:space="0" w:color="auto"/>
            </w:tcBorders>
            <w:shd w:val="clear" w:color="auto" w:fill="auto"/>
            <w:vAlign w:val="center"/>
          </w:tcPr>
          <w:p w:rsidR="00806C9D" w:rsidRPr="001E280C" w:rsidRDefault="00FE7110" w:rsidP="00FE7110">
            <w:pPr>
              <w:jc w:val="both"/>
              <w:rPr>
                <w:rFonts w:asciiTheme="minorHAnsi" w:hAnsiTheme="minorHAnsi" w:cs="Calibri"/>
                <w:color w:val="000000"/>
                <w:sz w:val="22"/>
                <w:szCs w:val="22"/>
              </w:rPr>
            </w:pPr>
            <w:r w:rsidRPr="001E280C">
              <w:rPr>
                <w:rFonts w:asciiTheme="minorHAnsi" w:hAnsiTheme="minorHAnsi" w:cs="Calibri"/>
                <w:color w:val="000000"/>
                <w:sz w:val="22"/>
                <w:szCs w:val="22"/>
              </w:rPr>
              <w:t>Vérifier que les candidats ont été informés de</w:t>
            </w:r>
            <w:r w:rsidR="00FF7CBC" w:rsidRPr="001E280C">
              <w:rPr>
                <w:rFonts w:asciiTheme="minorHAnsi" w:hAnsiTheme="minorHAnsi" w:cs="Calibri"/>
                <w:color w:val="000000"/>
                <w:sz w:val="22"/>
                <w:szCs w:val="22"/>
              </w:rPr>
              <w:t>s résultats de la consultation, aux fins d’exercice de leur droit de recours précontractuels le cas échéant.</w:t>
            </w:r>
          </w:p>
          <w:p w:rsidR="00E03864" w:rsidRPr="001E280C" w:rsidRDefault="00E03864" w:rsidP="00E03864">
            <w:pPr>
              <w:rPr>
                <w:rFonts w:asciiTheme="minorHAnsi" w:hAnsiTheme="minorHAnsi" w:cs="Calibri"/>
                <w:i/>
                <w:color w:val="31849B" w:themeColor="accent5" w:themeShade="BF"/>
                <w:sz w:val="22"/>
                <w:szCs w:val="22"/>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2"/>
                <w:szCs w:val="22"/>
              </w:rPr>
              <w:t xml:space="preserve"> Fiches techniques éditées par la DAJ :</w:t>
            </w:r>
          </w:p>
          <w:p w:rsidR="00E03864" w:rsidRPr="001E280C" w:rsidRDefault="00B227C8" w:rsidP="00E03864">
            <w:pPr>
              <w:jc w:val="both"/>
              <w:rPr>
                <w:rStyle w:val="Lienhypertexte"/>
                <w:rFonts w:asciiTheme="minorHAnsi" w:hAnsiTheme="minorHAnsi"/>
                <w:i/>
                <w:color w:val="31849B" w:themeColor="accent5" w:themeShade="BF"/>
                <w:sz w:val="22"/>
                <w:szCs w:val="22"/>
              </w:rPr>
            </w:pPr>
            <w:hyperlink r:id="rId42" w:history="1">
              <w:r w:rsidR="00E03864" w:rsidRPr="001E280C">
                <w:rPr>
                  <w:rStyle w:val="Lienhypertexte"/>
                  <w:rFonts w:asciiTheme="minorHAnsi" w:hAnsiTheme="minorHAnsi"/>
                  <w:i/>
                  <w:sz w:val="22"/>
                  <w:szCs w:val="22"/>
                </w:rPr>
                <w:t>http://www.economie.gouv.fr/daj/conseil-acheteurs-fiches-techniques</w:t>
              </w:r>
            </w:hyperlink>
          </w:p>
          <w:p w:rsidR="00597DA0" w:rsidRPr="001E280C" w:rsidRDefault="00511113" w:rsidP="00597DA0">
            <w:pPr>
              <w:rPr>
                <w:rFonts w:asciiTheme="minorHAnsi" w:hAnsiTheme="minorHAnsi" w:cs="Calibri"/>
                <w:i/>
                <w:color w:val="31849B" w:themeColor="accent5" w:themeShade="BF"/>
                <w:sz w:val="24"/>
                <w:szCs w:val="24"/>
              </w:rPr>
            </w:pPr>
            <w:r>
              <w:rPr>
                <w:rFonts w:asciiTheme="minorHAnsi" w:hAnsiTheme="minorHAnsi" w:cs="Calibri"/>
                <w:i/>
                <w:color w:val="31849B" w:themeColor="accent5" w:themeShade="BF"/>
                <w:sz w:val="22"/>
                <w:szCs w:val="22"/>
              </w:rPr>
              <w:t xml:space="preserve">Point 17 </w:t>
            </w:r>
            <w:r w:rsidR="00597DA0" w:rsidRPr="001E280C">
              <w:rPr>
                <w:rFonts w:asciiTheme="minorHAnsi" w:hAnsiTheme="minorHAnsi" w:cs="Calibri"/>
                <w:i/>
                <w:color w:val="31849B" w:themeColor="accent5" w:themeShade="BF"/>
                <w:sz w:val="22"/>
                <w:szCs w:val="22"/>
              </w:rPr>
              <w:t xml:space="preserve">de </w:t>
            </w:r>
            <w:r>
              <w:rPr>
                <w:rFonts w:asciiTheme="minorHAnsi" w:hAnsiTheme="minorHAnsi" w:cs="Calibri"/>
                <w:i/>
                <w:color w:val="31849B" w:themeColor="accent5" w:themeShade="BF"/>
                <w:sz w:val="22"/>
                <w:szCs w:val="22"/>
              </w:rPr>
              <w:t>la Circulaire du 14 février 2014</w:t>
            </w:r>
            <w:r w:rsidR="00597DA0" w:rsidRPr="001E280C">
              <w:rPr>
                <w:rFonts w:asciiTheme="minorHAnsi" w:hAnsiTheme="minorHAnsi" w:cs="Calibri"/>
                <w:i/>
                <w:color w:val="31849B" w:themeColor="accent5" w:themeShade="BF"/>
                <w:sz w:val="22"/>
                <w:szCs w:val="22"/>
              </w:rPr>
              <w:t xml:space="preserve"> relative au Guide de bonnes pratiques en matière de marchés publics</w:t>
            </w:r>
            <w:r w:rsidR="00597DA0" w:rsidRPr="001E280C">
              <w:rPr>
                <w:rFonts w:asciiTheme="minorHAnsi" w:hAnsiTheme="minorHAnsi" w:cs="Calibri"/>
                <w:i/>
                <w:color w:val="31849B" w:themeColor="accent5" w:themeShade="BF"/>
                <w:sz w:val="24"/>
                <w:szCs w:val="24"/>
              </w:rPr>
              <w:t xml:space="preserve"> </w:t>
            </w:r>
          </w:p>
          <w:p w:rsidR="00597DA0" w:rsidRDefault="00B227C8" w:rsidP="00597DA0">
            <w:pPr>
              <w:jc w:val="both"/>
              <w:rPr>
                <w:rStyle w:val="Lienhypertexte"/>
                <w:rFonts w:asciiTheme="minorHAnsi" w:hAnsiTheme="minorHAnsi" w:cs="Calibri"/>
                <w:i/>
                <w:color w:val="31849B" w:themeColor="accent5" w:themeShade="BF"/>
                <w:sz w:val="22"/>
                <w:szCs w:val="22"/>
              </w:rPr>
            </w:pPr>
            <w:hyperlink r:id="rId43" w:history="1">
              <w:r w:rsidR="00511113" w:rsidRPr="008A08E3">
                <w:rPr>
                  <w:rStyle w:val="Lienhypertexte"/>
                  <w:rFonts w:asciiTheme="minorHAnsi" w:hAnsiTheme="minorHAnsi" w:cs="Calibri"/>
                  <w:i/>
                  <w:sz w:val="22"/>
                  <w:szCs w:val="22"/>
                </w:rPr>
                <w:t>https://www.economie.gouv.fr/files/files/directions_services/daj/marches_publics/conseil_acheteurs/guides/guide-bonnes-pratiques-mp.pdf</w:t>
              </w:r>
            </w:hyperlink>
          </w:p>
          <w:p w:rsidR="00511113" w:rsidRPr="001E280C" w:rsidRDefault="00511113" w:rsidP="00597DA0">
            <w:pPr>
              <w:jc w:val="both"/>
              <w:rPr>
                <w:rFonts w:asciiTheme="minorHAnsi" w:hAnsiTheme="minorHAnsi" w:cs="Calibri"/>
                <w:color w:val="000000"/>
                <w:sz w:val="22"/>
                <w:szCs w:val="22"/>
              </w:rPr>
            </w:pPr>
          </w:p>
        </w:tc>
      </w:tr>
      <w:tr w:rsidR="00806C9D" w:rsidRPr="001E280C" w:rsidTr="001F3E75">
        <w:trPr>
          <w:trHeight w:val="27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Engagement juridique conforme au type de procédure</w:t>
            </w:r>
          </w:p>
        </w:tc>
        <w:tc>
          <w:tcPr>
            <w:tcW w:w="6906" w:type="dxa"/>
            <w:tcBorders>
              <w:top w:val="single" w:sz="4" w:space="0" w:color="auto"/>
              <w:left w:val="nil"/>
              <w:bottom w:val="single" w:sz="4" w:space="0" w:color="auto"/>
              <w:right w:val="single" w:sz="12" w:space="0" w:color="auto"/>
            </w:tcBorders>
            <w:shd w:val="clear" w:color="auto" w:fill="auto"/>
            <w:vAlign w:val="center"/>
          </w:tcPr>
          <w:p w:rsidR="00806C9D" w:rsidRPr="001E280C" w:rsidRDefault="00157D34" w:rsidP="00157D34">
            <w:pPr>
              <w:rPr>
                <w:rFonts w:asciiTheme="minorHAnsi" w:hAnsiTheme="minorHAnsi" w:cs="Calibri"/>
                <w:color w:val="000000"/>
                <w:sz w:val="22"/>
                <w:szCs w:val="22"/>
              </w:rPr>
            </w:pPr>
            <w:r w:rsidRPr="001E280C">
              <w:rPr>
                <w:rFonts w:asciiTheme="minorHAnsi" w:hAnsiTheme="minorHAnsi" w:cs="Calibri"/>
                <w:color w:val="000000"/>
                <w:sz w:val="22"/>
                <w:szCs w:val="22"/>
              </w:rPr>
              <w:t>Acte d’engagement, bons de commande, Devis avec mention « bon pour accord »…</w:t>
            </w:r>
          </w:p>
        </w:tc>
      </w:tr>
      <w:tr w:rsidR="00806C9D" w:rsidRPr="001E280C" w:rsidTr="001F3E75">
        <w:trPr>
          <w:trHeight w:val="27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906" w:type="dxa"/>
            <w:tcBorders>
              <w:top w:val="single" w:sz="4" w:space="0" w:color="auto"/>
              <w:left w:val="nil"/>
              <w:bottom w:val="single" w:sz="4" w:space="0" w:color="auto"/>
              <w:right w:val="single" w:sz="12"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p>
        </w:tc>
      </w:tr>
    </w:tbl>
    <w:p w:rsidR="00806C9D" w:rsidRPr="001E280C" w:rsidRDefault="00806C9D" w:rsidP="00DE5B0B">
      <w:pPr>
        <w:rPr>
          <w:rFonts w:asciiTheme="minorHAnsi" w:hAnsiTheme="minorHAnsi" w:cstheme="minorHAnsi"/>
        </w:rPr>
      </w:pPr>
    </w:p>
    <w:p w:rsidR="00806C9D" w:rsidRPr="001E280C" w:rsidRDefault="00806C9D" w:rsidP="00DE5B0B">
      <w:pPr>
        <w:rPr>
          <w:rFonts w:asciiTheme="minorHAnsi" w:hAnsiTheme="minorHAnsi" w:cstheme="minorHAnsi"/>
        </w:rPr>
      </w:pPr>
    </w:p>
    <w:tbl>
      <w:tblPr>
        <w:tblW w:w="9938" w:type="dxa"/>
        <w:tblInd w:w="55" w:type="dxa"/>
        <w:tblLayout w:type="fixed"/>
        <w:tblCellMar>
          <w:left w:w="70" w:type="dxa"/>
          <w:right w:w="70" w:type="dxa"/>
        </w:tblCellMar>
        <w:tblLook w:val="04A0" w:firstRow="1" w:lastRow="0" w:firstColumn="1" w:lastColumn="0" w:noHBand="0" w:noVBand="1"/>
      </w:tblPr>
      <w:tblGrid>
        <w:gridCol w:w="3134"/>
        <w:gridCol w:w="6804"/>
      </w:tblGrid>
      <w:tr w:rsidR="00806C9D" w:rsidRPr="001E280C" w:rsidTr="00D66BDF">
        <w:trPr>
          <w:trHeight w:val="390"/>
        </w:trPr>
        <w:tc>
          <w:tcPr>
            <w:tcW w:w="9938" w:type="dxa"/>
            <w:gridSpan w:val="2"/>
            <w:tcBorders>
              <w:top w:val="single" w:sz="4" w:space="0" w:color="auto"/>
              <w:left w:val="single" w:sz="4" w:space="0" w:color="auto"/>
              <w:bottom w:val="single" w:sz="4" w:space="0" w:color="auto"/>
              <w:right w:val="single" w:sz="12" w:space="0" w:color="auto"/>
            </w:tcBorders>
            <w:shd w:val="clear" w:color="auto" w:fill="C2D69B"/>
            <w:vAlign w:val="center"/>
          </w:tcPr>
          <w:p w:rsidR="00806C9D" w:rsidRPr="001E280C" w:rsidRDefault="00806C9D" w:rsidP="006A5B16">
            <w:pPr>
              <w:jc w:val="center"/>
              <w:rPr>
                <w:rFonts w:asciiTheme="minorHAnsi" w:hAnsiTheme="minorHAnsi" w:cs="Calibri"/>
                <w:b/>
                <w:sz w:val="24"/>
                <w:szCs w:val="24"/>
              </w:rPr>
            </w:pPr>
            <w:r w:rsidRPr="001E280C">
              <w:rPr>
                <w:rFonts w:asciiTheme="minorHAnsi" w:hAnsiTheme="minorHAnsi" w:cs="Calibri"/>
                <w:b/>
                <w:sz w:val="24"/>
                <w:szCs w:val="24"/>
              </w:rPr>
              <w:t>EXECUTION DU MARCHE</w:t>
            </w:r>
          </w:p>
        </w:tc>
      </w:tr>
      <w:tr w:rsidR="00806C9D" w:rsidRPr="001E280C" w:rsidTr="00D66BDF">
        <w:trPr>
          <w:trHeight w:val="77"/>
        </w:trPr>
        <w:tc>
          <w:tcPr>
            <w:tcW w:w="9938" w:type="dxa"/>
            <w:gridSpan w:val="2"/>
            <w:tcBorders>
              <w:top w:val="single" w:sz="4" w:space="0" w:color="auto"/>
              <w:bottom w:val="single" w:sz="4" w:space="0" w:color="auto"/>
            </w:tcBorders>
            <w:shd w:val="clear" w:color="auto" w:fill="auto"/>
            <w:vAlign w:val="center"/>
          </w:tcPr>
          <w:p w:rsidR="00806C9D" w:rsidRPr="001E280C" w:rsidRDefault="00806C9D" w:rsidP="006A5B16">
            <w:pPr>
              <w:rPr>
                <w:rFonts w:asciiTheme="minorHAnsi" w:hAnsiTheme="minorHAnsi" w:cs="Calibri"/>
                <w:b/>
                <w:sz w:val="8"/>
                <w:szCs w:val="8"/>
              </w:rPr>
            </w:pPr>
          </w:p>
        </w:tc>
      </w:tr>
      <w:tr w:rsidR="00806C9D" w:rsidRPr="001E280C" w:rsidTr="00D66BDF">
        <w:trPr>
          <w:trHeight w:val="153"/>
        </w:trPr>
        <w:tc>
          <w:tcPr>
            <w:tcW w:w="9938" w:type="dxa"/>
            <w:gridSpan w:val="2"/>
            <w:tcBorders>
              <w:top w:val="single" w:sz="4" w:space="0" w:color="auto"/>
              <w:left w:val="single" w:sz="4" w:space="0" w:color="auto"/>
              <w:bottom w:val="single" w:sz="4" w:space="0" w:color="auto"/>
              <w:right w:val="single" w:sz="12" w:space="0" w:color="auto"/>
            </w:tcBorders>
            <w:shd w:val="clear" w:color="auto" w:fill="002060"/>
            <w:vAlign w:val="center"/>
          </w:tcPr>
          <w:p w:rsidR="00806C9D" w:rsidRPr="001E280C" w:rsidRDefault="00806C9D" w:rsidP="006A5B16">
            <w:pPr>
              <w:rPr>
                <w:rFonts w:asciiTheme="minorHAnsi" w:hAnsiTheme="minorHAnsi" w:cs="Calibri"/>
                <w:color w:val="FFFFFF"/>
                <w:sz w:val="22"/>
                <w:szCs w:val="22"/>
              </w:rPr>
            </w:pPr>
            <w:r w:rsidRPr="001E280C">
              <w:rPr>
                <w:rFonts w:asciiTheme="minorHAnsi" w:hAnsiTheme="minorHAnsi" w:cs="Calibri"/>
                <w:color w:val="FFFFFF"/>
                <w:sz w:val="22"/>
                <w:szCs w:val="22"/>
              </w:rPr>
              <w:t>Exécution du marché</w:t>
            </w:r>
          </w:p>
        </w:tc>
      </w:tr>
      <w:tr w:rsidR="00806C9D" w:rsidRPr="001E280C" w:rsidTr="00D66BD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C9D" w:rsidRPr="001E280C" w:rsidRDefault="008A4F1A" w:rsidP="006A5B16">
            <w:pPr>
              <w:rPr>
                <w:rFonts w:asciiTheme="minorHAnsi" w:hAnsiTheme="minorHAnsi" w:cs="Calibri"/>
                <w:color w:val="000000"/>
                <w:sz w:val="22"/>
                <w:szCs w:val="22"/>
              </w:rPr>
            </w:pPr>
            <w:r w:rsidRPr="001E280C">
              <w:rPr>
                <w:rFonts w:asciiTheme="minorHAnsi" w:hAnsiTheme="minorHAnsi" w:cs="Calibri"/>
                <w:color w:val="000000"/>
                <w:sz w:val="22"/>
                <w:szCs w:val="22"/>
              </w:rPr>
              <w:t>Marchés à bons de commande : p</w:t>
            </w:r>
            <w:r w:rsidR="00806C9D" w:rsidRPr="001E280C">
              <w:rPr>
                <w:rFonts w:asciiTheme="minorHAnsi" w:hAnsiTheme="minorHAnsi" w:cs="Calibri"/>
                <w:color w:val="000000"/>
                <w:sz w:val="22"/>
                <w:szCs w:val="22"/>
              </w:rPr>
              <w:t>ièces présentes au dossier</w:t>
            </w:r>
          </w:p>
        </w:tc>
        <w:tc>
          <w:tcPr>
            <w:tcW w:w="6804" w:type="dxa"/>
            <w:tcBorders>
              <w:top w:val="single" w:sz="4" w:space="0" w:color="auto"/>
              <w:left w:val="nil"/>
              <w:bottom w:val="single" w:sz="4" w:space="0" w:color="auto"/>
              <w:right w:val="single" w:sz="12"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806C9D" w:rsidRPr="001E280C" w:rsidTr="00D66BD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Régularité des bons de commande, le cas échéant</w:t>
            </w:r>
          </w:p>
        </w:tc>
        <w:tc>
          <w:tcPr>
            <w:tcW w:w="6804" w:type="dxa"/>
            <w:tcBorders>
              <w:top w:val="single" w:sz="4" w:space="0" w:color="auto"/>
              <w:left w:val="nil"/>
              <w:bottom w:val="single" w:sz="4" w:space="0" w:color="auto"/>
              <w:right w:val="single" w:sz="12" w:space="0" w:color="auto"/>
            </w:tcBorders>
            <w:shd w:val="clear" w:color="auto" w:fill="auto"/>
            <w:vAlign w:val="center"/>
          </w:tcPr>
          <w:p w:rsidR="0071647C" w:rsidRPr="001E280C" w:rsidRDefault="0071647C" w:rsidP="0071647C">
            <w:pPr>
              <w:rPr>
                <w:rFonts w:asciiTheme="minorHAnsi" w:hAnsiTheme="minorHAnsi" w:cs="Calibri"/>
                <w:i/>
                <w:color w:val="31849B" w:themeColor="accent5" w:themeShade="BF"/>
                <w:sz w:val="22"/>
                <w:szCs w:val="22"/>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2"/>
                <w:szCs w:val="22"/>
              </w:rPr>
              <w:t xml:space="preserve"> Fiches techniques relatives aux marchés à bon de commande éditées par la DAJ :</w:t>
            </w:r>
          </w:p>
          <w:p w:rsidR="0071647C" w:rsidRPr="001E280C" w:rsidRDefault="00B227C8" w:rsidP="0071647C">
            <w:pPr>
              <w:jc w:val="both"/>
              <w:rPr>
                <w:rStyle w:val="Lienhypertexte"/>
                <w:rFonts w:asciiTheme="minorHAnsi" w:hAnsiTheme="minorHAnsi"/>
                <w:i/>
                <w:color w:val="31849B" w:themeColor="accent5" w:themeShade="BF"/>
                <w:sz w:val="22"/>
                <w:szCs w:val="22"/>
              </w:rPr>
            </w:pPr>
            <w:hyperlink r:id="rId44" w:history="1">
              <w:r w:rsidR="0071647C" w:rsidRPr="001E280C">
                <w:rPr>
                  <w:rStyle w:val="Lienhypertexte"/>
                  <w:rFonts w:asciiTheme="minorHAnsi" w:hAnsiTheme="minorHAnsi"/>
                  <w:i/>
                  <w:sz w:val="22"/>
                  <w:szCs w:val="22"/>
                </w:rPr>
                <w:t>http://www.economie.gouv.fr/daj/conseil-acheteurs-fiches-techniques</w:t>
              </w:r>
            </w:hyperlink>
          </w:p>
          <w:p w:rsidR="0071647C" w:rsidRPr="001E280C" w:rsidRDefault="00511113" w:rsidP="0071647C">
            <w:pPr>
              <w:rPr>
                <w:rFonts w:asciiTheme="minorHAnsi" w:hAnsiTheme="minorHAnsi" w:cs="Calibri"/>
                <w:i/>
                <w:color w:val="31849B" w:themeColor="accent5" w:themeShade="BF"/>
                <w:sz w:val="24"/>
                <w:szCs w:val="24"/>
              </w:rPr>
            </w:pPr>
            <w:r>
              <w:rPr>
                <w:rFonts w:asciiTheme="minorHAnsi" w:hAnsiTheme="minorHAnsi" w:cs="Calibri"/>
                <w:i/>
                <w:color w:val="31849B" w:themeColor="accent5" w:themeShade="BF"/>
                <w:sz w:val="22"/>
                <w:szCs w:val="22"/>
              </w:rPr>
              <w:t xml:space="preserve">Point 7, 20 et 21 </w:t>
            </w:r>
            <w:r w:rsidR="0071647C" w:rsidRPr="001E280C">
              <w:rPr>
                <w:rFonts w:asciiTheme="minorHAnsi" w:hAnsiTheme="minorHAnsi" w:cs="Calibri"/>
                <w:i/>
                <w:color w:val="31849B" w:themeColor="accent5" w:themeShade="BF"/>
                <w:sz w:val="22"/>
                <w:szCs w:val="22"/>
              </w:rPr>
              <w:t xml:space="preserve">de </w:t>
            </w:r>
            <w:r>
              <w:rPr>
                <w:rFonts w:asciiTheme="minorHAnsi" w:hAnsiTheme="minorHAnsi" w:cs="Calibri"/>
                <w:i/>
                <w:color w:val="31849B" w:themeColor="accent5" w:themeShade="BF"/>
                <w:sz w:val="22"/>
                <w:szCs w:val="22"/>
              </w:rPr>
              <w:t>la Circulaire du 14 février 2014</w:t>
            </w:r>
            <w:r w:rsidR="0071647C" w:rsidRPr="001E280C">
              <w:rPr>
                <w:rFonts w:asciiTheme="minorHAnsi" w:hAnsiTheme="minorHAnsi" w:cs="Calibri"/>
                <w:i/>
                <w:color w:val="31849B" w:themeColor="accent5" w:themeShade="BF"/>
                <w:sz w:val="22"/>
                <w:szCs w:val="22"/>
              </w:rPr>
              <w:t xml:space="preserve"> relative au Guide de bonnes pratiques en matière de marchés publics</w:t>
            </w:r>
            <w:r w:rsidR="0071647C" w:rsidRPr="001E280C">
              <w:rPr>
                <w:rFonts w:asciiTheme="minorHAnsi" w:hAnsiTheme="minorHAnsi" w:cs="Calibri"/>
                <w:i/>
                <w:color w:val="31849B" w:themeColor="accent5" w:themeShade="BF"/>
                <w:sz w:val="24"/>
                <w:szCs w:val="24"/>
              </w:rPr>
              <w:t xml:space="preserve"> </w:t>
            </w:r>
          </w:p>
          <w:p w:rsidR="00806C9D" w:rsidRDefault="00B227C8" w:rsidP="0071647C">
            <w:pPr>
              <w:rPr>
                <w:rStyle w:val="Lienhypertexte"/>
                <w:rFonts w:asciiTheme="minorHAnsi" w:hAnsiTheme="minorHAnsi" w:cs="Calibri"/>
                <w:i/>
                <w:color w:val="31849B" w:themeColor="accent5" w:themeShade="BF"/>
                <w:sz w:val="22"/>
                <w:szCs w:val="22"/>
              </w:rPr>
            </w:pPr>
            <w:hyperlink r:id="rId45" w:history="1">
              <w:r w:rsidR="00511113" w:rsidRPr="008A08E3">
                <w:rPr>
                  <w:rStyle w:val="Lienhypertexte"/>
                  <w:rFonts w:asciiTheme="minorHAnsi" w:hAnsiTheme="minorHAnsi" w:cs="Calibri"/>
                  <w:i/>
                  <w:sz w:val="22"/>
                  <w:szCs w:val="22"/>
                </w:rPr>
                <w:t>https://www.economie.gouv.fr/files/files/directions_services/daj/marches_publics/conseil_acheteurs/guides/guide-bonnes-pratiques-mp.pdf</w:t>
              </w:r>
            </w:hyperlink>
          </w:p>
          <w:p w:rsidR="00511113" w:rsidRPr="001E280C" w:rsidRDefault="00511113" w:rsidP="0071647C">
            <w:pPr>
              <w:rPr>
                <w:rFonts w:asciiTheme="minorHAnsi" w:hAnsiTheme="minorHAnsi" w:cs="Calibri"/>
                <w:color w:val="000000"/>
                <w:sz w:val="22"/>
                <w:szCs w:val="22"/>
              </w:rPr>
            </w:pPr>
          </w:p>
        </w:tc>
      </w:tr>
      <w:tr w:rsidR="008A4F1A" w:rsidRPr="001E280C" w:rsidTr="00D66BD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A4F1A" w:rsidRPr="001E280C" w:rsidRDefault="008A4F1A" w:rsidP="008A4F1A">
            <w:pPr>
              <w:rPr>
                <w:rFonts w:asciiTheme="minorHAnsi" w:hAnsiTheme="minorHAnsi" w:cs="Calibri"/>
                <w:color w:val="000000"/>
                <w:sz w:val="22"/>
                <w:szCs w:val="22"/>
              </w:rPr>
            </w:pPr>
            <w:r w:rsidRPr="001E280C">
              <w:rPr>
                <w:rFonts w:asciiTheme="minorHAnsi" w:hAnsiTheme="minorHAnsi" w:cs="Calibri"/>
                <w:color w:val="000000"/>
                <w:sz w:val="22"/>
                <w:szCs w:val="22"/>
              </w:rPr>
              <w:t>Marchés à tranche(s) conditionnelle(s) : pièces présentes au dossier</w:t>
            </w:r>
          </w:p>
        </w:tc>
        <w:tc>
          <w:tcPr>
            <w:tcW w:w="6804" w:type="dxa"/>
            <w:tcBorders>
              <w:top w:val="single" w:sz="4" w:space="0" w:color="auto"/>
              <w:left w:val="nil"/>
              <w:bottom w:val="single" w:sz="4" w:space="0" w:color="auto"/>
              <w:right w:val="single" w:sz="12" w:space="0" w:color="auto"/>
            </w:tcBorders>
            <w:shd w:val="clear" w:color="auto" w:fill="auto"/>
            <w:vAlign w:val="center"/>
          </w:tcPr>
          <w:p w:rsidR="008A4F1A" w:rsidRPr="001E280C" w:rsidRDefault="008A4F1A" w:rsidP="0071647C">
            <w:pPr>
              <w:rPr>
                <w:rFonts w:asciiTheme="minorHAnsi" w:hAnsiTheme="minorHAnsi" w:cs="Calibri"/>
                <w:i/>
                <w:color w:val="31849B" w:themeColor="accent5" w:themeShade="BF"/>
                <w:sz w:val="24"/>
                <w:szCs w:val="24"/>
              </w:rPr>
            </w:pPr>
          </w:p>
        </w:tc>
      </w:tr>
      <w:tr w:rsidR="00806C9D" w:rsidRPr="001E280C" w:rsidTr="00D66BD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A4F1A" w:rsidP="008A4F1A">
            <w:pPr>
              <w:rPr>
                <w:rFonts w:asciiTheme="minorHAnsi" w:hAnsiTheme="minorHAnsi" w:cs="Calibri"/>
                <w:color w:val="000000"/>
                <w:sz w:val="22"/>
                <w:szCs w:val="22"/>
              </w:rPr>
            </w:pPr>
            <w:r w:rsidRPr="001E280C">
              <w:rPr>
                <w:rFonts w:asciiTheme="minorHAnsi" w:hAnsiTheme="minorHAnsi" w:cs="Calibri"/>
                <w:color w:val="000000"/>
                <w:sz w:val="22"/>
                <w:szCs w:val="22"/>
              </w:rPr>
              <w:t>Régularité de l’affermissement de tranches</w:t>
            </w:r>
          </w:p>
        </w:tc>
        <w:tc>
          <w:tcPr>
            <w:tcW w:w="6804" w:type="dxa"/>
            <w:tcBorders>
              <w:top w:val="single" w:sz="4" w:space="0" w:color="auto"/>
              <w:left w:val="nil"/>
              <w:bottom w:val="single" w:sz="4" w:space="0" w:color="auto"/>
              <w:right w:val="single" w:sz="12" w:space="0" w:color="auto"/>
            </w:tcBorders>
            <w:shd w:val="clear" w:color="auto" w:fill="auto"/>
            <w:vAlign w:val="center"/>
          </w:tcPr>
          <w:p w:rsidR="005A59FB" w:rsidRPr="001E280C" w:rsidRDefault="005A59FB" w:rsidP="005A59FB">
            <w:pPr>
              <w:rPr>
                <w:rFonts w:asciiTheme="minorHAnsi" w:hAnsiTheme="minorHAnsi" w:cs="Calibri"/>
                <w:i/>
                <w:color w:val="31849B" w:themeColor="accent5" w:themeShade="BF"/>
                <w:sz w:val="22"/>
                <w:szCs w:val="22"/>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2"/>
                <w:szCs w:val="22"/>
              </w:rPr>
              <w:t xml:space="preserve"> Fiches techniques relatives aux marchés à </w:t>
            </w:r>
            <w:r w:rsidR="00387256" w:rsidRPr="001E280C">
              <w:rPr>
                <w:rFonts w:asciiTheme="minorHAnsi" w:hAnsiTheme="minorHAnsi" w:cs="Calibri"/>
                <w:i/>
                <w:color w:val="31849B" w:themeColor="accent5" w:themeShade="BF"/>
                <w:sz w:val="22"/>
                <w:szCs w:val="22"/>
              </w:rPr>
              <w:t>tranches</w:t>
            </w:r>
            <w:r w:rsidRPr="001E280C">
              <w:rPr>
                <w:rFonts w:asciiTheme="minorHAnsi" w:hAnsiTheme="minorHAnsi" w:cs="Calibri"/>
                <w:i/>
                <w:color w:val="31849B" w:themeColor="accent5" w:themeShade="BF"/>
                <w:sz w:val="22"/>
                <w:szCs w:val="22"/>
              </w:rPr>
              <w:t xml:space="preserve"> éditées par la DAJ :</w:t>
            </w:r>
          </w:p>
          <w:p w:rsidR="005A59FB" w:rsidRPr="001E280C" w:rsidRDefault="00B227C8" w:rsidP="005A59FB">
            <w:pPr>
              <w:jc w:val="both"/>
              <w:rPr>
                <w:rStyle w:val="Lienhypertexte"/>
                <w:rFonts w:asciiTheme="minorHAnsi" w:hAnsiTheme="minorHAnsi"/>
                <w:i/>
                <w:color w:val="31849B" w:themeColor="accent5" w:themeShade="BF"/>
                <w:sz w:val="22"/>
                <w:szCs w:val="22"/>
              </w:rPr>
            </w:pPr>
            <w:hyperlink r:id="rId46" w:history="1">
              <w:r w:rsidR="005A59FB" w:rsidRPr="001E280C">
                <w:rPr>
                  <w:rStyle w:val="Lienhypertexte"/>
                  <w:rFonts w:asciiTheme="minorHAnsi" w:hAnsiTheme="minorHAnsi"/>
                  <w:i/>
                  <w:sz w:val="22"/>
                  <w:szCs w:val="22"/>
                </w:rPr>
                <w:t>http://www.economie.gouv.fr/daj/conseil-acheteurs-fiches-techniques</w:t>
              </w:r>
            </w:hyperlink>
          </w:p>
          <w:p w:rsidR="005A59FB" w:rsidRPr="001E280C" w:rsidRDefault="00511113" w:rsidP="005A59FB">
            <w:pPr>
              <w:rPr>
                <w:rFonts w:asciiTheme="minorHAnsi" w:hAnsiTheme="minorHAnsi" w:cs="Calibri"/>
                <w:i/>
                <w:color w:val="31849B" w:themeColor="accent5" w:themeShade="BF"/>
                <w:sz w:val="24"/>
                <w:szCs w:val="24"/>
              </w:rPr>
            </w:pPr>
            <w:r>
              <w:rPr>
                <w:rFonts w:asciiTheme="minorHAnsi" w:hAnsiTheme="minorHAnsi" w:cs="Calibri"/>
                <w:i/>
                <w:color w:val="31849B" w:themeColor="accent5" w:themeShade="BF"/>
                <w:sz w:val="22"/>
                <w:szCs w:val="22"/>
              </w:rPr>
              <w:t xml:space="preserve">Point 7 </w:t>
            </w:r>
            <w:r w:rsidR="005A59FB" w:rsidRPr="001E280C">
              <w:rPr>
                <w:rFonts w:asciiTheme="minorHAnsi" w:hAnsiTheme="minorHAnsi" w:cs="Calibri"/>
                <w:i/>
                <w:color w:val="31849B" w:themeColor="accent5" w:themeShade="BF"/>
                <w:sz w:val="22"/>
                <w:szCs w:val="22"/>
              </w:rPr>
              <w:t xml:space="preserve">de </w:t>
            </w:r>
            <w:r>
              <w:rPr>
                <w:rFonts w:asciiTheme="minorHAnsi" w:hAnsiTheme="minorHAnsi" w:cs="Calibri"/>
                <w:i/>
                <w:color w:val="31849B" w:themeColor="accent5" w:themeShade="BF"/>
                <w:sz w:val="22"/>
                <w:szCs w:val="22"/>
              </w:rPr>
              <w:t>la Circulaire du 14 février 2014</w:t>
            </w:r>
            <w:r w:rsidR="005A59FB" w:rsidRPr="001E280C">
              <w:rPr>
                <w:rFonts w:asciiTheme="minorHAnsi" w:hAnsiTheme="minorHAnsi" w:cs="Calibri"/>
                <w:i/>
                <w:color w:val="31849B" w:themeColor="accent5" w:themeShade="BF"/>
                <w:sz w:val="22"/>
                <w:szCs w:val="22"/>
              </w:rPr>
              <w:t xml:space="preserve"> relative au Guide de bonnes pratiques en matière de marchés publics</w:t>
            </w:r>
            <w:r w:rsidR="005A59FB" w:rsidRPr="001E280C">
              <w:rPr>
                <w:rFonts w:asciiTheme="minorHAnsi" w:hAnsiTheme="minorHAnsi" w:cs="Calibri"/>
                <w:i/>
                <w:color w:val="31849B" w:themeColor="accent5" w:themeShade="BF"/>
                <w:sz w:val="24"/>
                <w:szCs w:val="24"/>
              </w:rPr>
              <w:t xml:space="preserve"> </w:t>
            </w:r>
          </w:p>
          <w:p w:rsidR="00806C9D" w:rsidRDefault="00B227C8" w:rsidP="005A59FB">
            <w:pPr>
              <w:rPr>
                <w:rStyle w:val="Lienhypertexte"/>
                <w:rFonts w:asciiTheme="minorHAnsi" w:hAnsiTheme="minorHAnsi" w:cs="Calibri"/>
                <w:i/>
                <w:color w:val="31849B" w:themeColor="accent5" w:themeShade="BF"/>
                <w:sz w:val="22"/>
                <w:szCs w:val="22"/>
              </w:rPr>
            </w:pPr>
            <w:hyperlink r:id="rId47" w:history="1">
              <w:r w:rsidR="00511113" w:rsidRPr="008A08E3">
                <w:rPr>
                  <w:rStyle w:val="Lienhypertexte"/>
                  <w:rFonts w:asciiTheme="minorHAnsi" w:hAnsiTheme="minorHAnsi" w:cs="Calibri"/>
                  <w:i/>
                  <w:sz w:val="22"/>
                  <w:szCs w:val="22"/>
                </w:rPr>
                <w:t>https://www.economie.gouv.fr/files/files/directions_services/daj/marches_publics/conseil_acheteurs/guides/guide-bonnes-pratiques-mp.pdf</w:t>
              </w:r>
            </w:hyperlink>
          </w:p>
          <w:p w:rsidR="00511113" w:rsidRPr="001E280C" w:rsidRDefault="00511113" w:rsidP="005A59FB">
            <w:pPr>
              <w:rPr>
                <w:rFonts w:asciiTheme="minorHAnsi" w:hAnsiTheme="minorHAnsi" w:cs="Calibri"/>
                <w:color w:val="000000"/>
                <w:sz w:val="22"/>
                <w:szCs w:val="22"/>
              </w:rPr>
            </w:pPr>
          </w:p>
        </w:tc>
      </w:tr>
      <w:tr w:rsidR="008A4F1A" w:rsidRPr="001E280C" w:rsidTr="00D66BD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A4F1A" w:rsidRPr="001E280C" w:rsidRDefault="008A4F1A" w:rsidP="006A5B16">
            <w:pPr>
              <w:rPr>
                <w:rFonts w:asciiTheme="minorHAnsi" w:hAnsiTheme="minorHAnsi" w:cs="Calibri"/>
                <w:color w:val="000000"/>
                <w:sz w:val="22"/>
                <w:szCs w:val="22"/>
              </w:rPr>
            </w:pPr>
            <w:r w:rsidRPr="001E280C">
              <w:rPr>
                <w:rFonts w:asciiTheme="minorHAnsi" w:hAnsiTheme="minorHAnsi" w:cs="Calibri"/>
                <w:color w:val="000000"/>
                <w:sz w:val="22"/>
                <w:szCs w:val="22"/>
              </w:rPr>
              <w:t>Accord-cadre : pièces présentes au dossier</w:t>
            </w:r>
          </w:p>
        </w:tc>
        <w:tc>
          <w:tcPr>
            <w:tcW w:w="6804" w:type="dxa"/>
            <w:tcBorders>
              <w:top w:val="single" w:sz="4" w:space="0" w:color="auto"/>
              <w:left w:val="nil"/>
              <w:bottom w:val="single" w:sz="4" w:space="0" w:color="auto"/>
              <w:right w:val="single" w:sz="12" w:space="0" w:color="auto"/>
            </w:tcBorders>
            <w:shd w:val="clear" w:color="auto" w:fill="auto"/>
            <w:vAlign w:val="center"/>
          </w:tcPr>
          <w:p w:rsidR="008A4F1A" w:rsidRPr="001E280C" w:rsidRDefault="008A4F1A" w:rsidP="005A59FB">
            <w:pPr>
              <w:rPr>
                <w:rFonts w:asciiTheme="minorHAnsi" w:hAnsiTheme="minorHAnsi" w:cs="Calibri"/>
                <w:i/>
                <w:color w:val="31849B" w:themeColor="accent5" w:themeShade="BF"/>
                <w:sz w:val="24"/>
                <w:szCs w:val="24"/>
              </w:rPr>
            </w:pPr>
          </w:p>
        </w:tc>
      </w:tr>
      <w:tr w:rsidR="005A59FB" w:rsidRPr="001E280C" w:rsidTr="00D66BD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5A59FB" w:rsidRPr="001E280C" w:rsidRDefault="005A59FB" w:rsidP="006A5B16">
            <w:pPr>
              <w:rPr>
                <w:rFonts w:asciiTheme="minorHAnsi" w:hAnsiTheme="minorHAnsi" w:cs="Calibri"/>
                <w:color w:val="000000"/>
                <w:sz w:val="22"/>
                <w:szCs w:val="22"/>
              </w:rPr>
            </w:pPr>
            <w:r w:rsidRPr="001E280C">
              <w:rPr>
                <w:rFonts w:asciiTheme="minorHAnsi" w:hAnsiTheme="minorHAnsi" w:cs="Calibri"/>
                <w:color w:val="000000"/>
                <w:sz w:val="22"/>
                <w:szCs w:val="22"/>
              </w:rPr>
              <w:t>Accord-cadre : régularité des marchés subséquents</w:t>
            </w:r>
          </w:p>
        </w:tc>
        <w:tc>
          <w:tcPr>
            <w:tcW w:w="6804" w:type="dxa"/>
            <w:tcBorders>
              <w:top w:val="single" w:sz="4" w:space="0" w:color="auto"/>
              <w:left w:val="nil"/>
              <w:bottom w:val="single" w:sz="4" w:space="0" w:color="auto"/>
              <w:right w:val="single" w:sz="12" w:space="0" w:color="auto"/>
            </w:tcBorders>
            <w:shd w:val="clear" w:color="auto" w:fill="auto"/>
            <w:vAlign w:val="center"/>
          </w:tcPr>
          <w:p w:rsidR="005A59FB" w:rsidRPr="001E280C" w:rsidRDefault="005A59FB" w:rsidP="005A59FB">
            <w:pPr>
              <w:rPr>
                <w:rFonts w:asciiTheme="minorHAnsi" w:hAnsiTheme="minorHAnsi" w:cs="Calibri"/>
                <w:i/>
                <w:color w:val="31849B" w:themeColor="accent5" w:themeShade="BF"/>
                <w:sz w:val="22"/>
                <w:szCs w:val="22"/>
              </w:rPr>
            </w:pPr>
            <w:r w:rsidRPr="001E280C">
              <w:rPr>
                <w:rFonts w:asciiTheme="minorHAnsi" w:hAnsiTheme="minorHAnsi" w:cs="Calibri"/>
                <w:i/>
                <w:color w:val="31849B" w:themeColor="accent5" w:themeShade="BF"/>
                <w:sz w:val="24"/>
                <w:szCs w:val="24"/>
              </w:rPr>
              <w:sym w:font="Webdings" w:char="F0A8"/>
            </w:r>
            <w:r w:rsidRPr="001E280C">
              <w:rPr>
                <w:rFonts w:asciiTheme="minorHAnsi" w:hAnsiTheme="minorHAnsi" w:cs="Calibri"/>
                <w:i/>
                <w:color w:val="31849B" w:themeColor="accent5" w:themeShade="BF"/>
                <w:sz w:val="22"/>
                <w:szCs w:val="22"/>
              </w:rPr>
              <w:t xml:space="preserve"> Fiches techniques relatives aux accords-cadres éditées par la DAJ :</w:t>
            </w:r>
          </w:p>
          <w:p w:rsidR="005A59FB" w:rsidRPr="001E280C" w:rsidRDefault="00B227C8" w:rsidP="005A59FB">
            <w:pPr>
              <w:jc w:val="both"/>
              <w:rPr>
                <w:rStyle w:val="Lienhypertexte"/>
                <w:rFonts w:asciiTheme="minorHAnsi" w:hAnsiTheme="minorHAnsi"/>
                <w:i/>
                <w:color w:val="31849B" w:themeColor="accent5" w:themeShade="BF"/>
                <w:sz w:val="22"/>
                <w:szCs w:val="22"/>
              </w:rPr>
            </w:pPr>
            <w:hyperlink r:id="rId48" w:history="1">
              <w:r w:rsidR="005A59FB" w:rsidRPr="001E280C">
                <w:rPr>
                  <w:rStyle w:val="Lienhypertexte"/>
                  <w:rFonts w:asciiTheme="minorHAnsi" w:hAnsiTheme="minorHAnsi"/>
                  <w:i/>
                  <w:sz w:val="22"/>
                  <w:szCs w:val="22"/>
                </w:rPr>
                <w:t>http://www.economie.gouv.fr/daj/conseil-acheteurs-fiches-techniques</w:t>
              </w:r>
            </w:hyperlink>
          </w:p>
          <w:p w:rsidR="00511113" w:rsidRPr="001E280C" w:rsidRDefault="00511113" w:rsidP="00511113">
            <w:pPr>
              <w:rPr>
                <w:rFonts w:asciiTheme="minorHAnsi" w:hAnsiTheme="minorHAnsi" w:cs="Calibri"/>
                <w:color w:val="000000"/>
                <w:sz w:val="22"/>
                <w:szCs w:val="22"/>
              </w:rPr>
            </w:pPr>
          </w:p>
        </w:tc>
      </w:tr>
      <w:tr w:rsidR="00E03864" w:rsidRPr="001E280C" w:rsidTr="00D66BD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E03864" w:rsidRPr="001E280C" w:rsidRDefault="00E03864" w:rsidP="008A4F1A">
            <w:pPr>
              <w:rPr>
                <w:rFonts w:asciiTheme="minorHAnsi" w:hAnsiTheme="minorHAnsi" w:cs="Calibri"/>
                <w:color w:val="000000"/>
                <w:sz w:val="22"/>
                <w:szCs w:val="22"/>
              </w:rPr>
            </w:pPr>
            <w:r w:rsidRPr="001E280C">
              <w:rPr>
                <w:rFonts w:asciiTheme="minorHAnsi" w:hAnsiTheme="minorHAnsi" w:cs="Calibri"/>
                <w:color w:val="000000"/>
                <w:sz w:val="22"/>
                <w:szCs w:val="22"/>
              </w:rPr>
              <w:t>Autres particularités dans l’exé</w:t>
            </w:r>
            <w:r w:rsidR="008A4F1A" w:rsidRPr="001E280C">
              <w:rPr>
                <w:rFonts w:asciiTheme="minorHAnsi" w:hAnsiTheme="minorHAnsi" w:cs="Calibri"/>
                <w:color w:val="000000"/>
                <w:sz w:val="22"/>
                <w:szCs w:val="22"/>
              </w:rPr>
              <w:t>cution du marché,</w:t>
            </w:r>
          </w:p>
        </w:tc>
        <w:tc>
          <w:tcPr>
            <w:tcW w:w="6804" w:type="dxa"/>
            <w:tcBorders>
              <w:top w:val="single" w:sz="4" w:space="0" w:color="auto"/>
              <w:left w:val="nil"/>
              <w:bottom w:val="single" w:sz="4" w:space="0" w:color="auto"/>
              <w:right w:val="single" w:sz="12" w:space="0" w:color="auto"/>
            </w:tcBorders>
            <w:shd w:val="clear" w:color="auto" w:fill="auto"/>
            <w:vAlign w:val="center"/>
          </w:tcPr>
          <w:p w:rsidR="00E03864" w:rsidRPr="001E280C" w:rsidRDefault="00E03864" w:rsidP="006A5B16">
            <w:pPr>
              <w:rPr>
                <w:rFonts w:asciiTheme="minorHAnsi" w:hAnsiTheme="minorHAnsi" w:cs="Calibri"/>
                <w:color w:val="000000"/>
                <w:sz w:val="22"/>
                <w:szCs w:val="22"/>
              </w:rPr>
            </w:pPr>
            <w:r w:rsidRPr="001E280C">
              <w:rPr>
                <w:rFonts w:asciiTheme="minorHAnsi" w:hAnsiTheme="minorHAnsi" w:cs="Calibri"/>
                <w:color w:val="000000"/>
                <w:sz w:val="22"/>
                <w:szCs w:val="22"/>
              </w:rPr>
              <w:t>Par exemple, intérêts moratoires, résiliation anticipée…</w:t>
            </w:r>
          </w:p>
        </w:tc>
      </w:tr>
      <w:tr w:rsidR="00806C9D" w:rsidRPr="001E280C" w:rsidTr="00D66BD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A4F1A" w:rsidP="006A5B16">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804" w:type="dxa"/>
            <w:tcBorders>
              <w:top w:val="single" w:sz="4" w:space="0" w:color="auto"/>
              <w:left w:val="nil"/>
              <w:bottom w:val="single" w:sz="4" w:space="0" w:color="auto"/>
              <w:right w:val="single" w:sz="12" w:space="0" w:color="auto"/>
            </w:tcBorders>
            <w:shd w:val="clear" w:color="auto" w:fill="auto"/>
            <w:vAlign w:val="center"/>
          </w:tcPr>
          <w:p w:rsidR="00806C9D" w:rsidRPr="001E280C" w:rsidRDefault="008A4F1A" w:rsidP="006A5B16">
            <w:pPr>
              <w:rPr>
                <w:rFonts w:asciiTheme="minorHAnsi" w:hAnsiTheme="minorHAnsi" w:cs="Calibri"/>
                <w:color w:val="000000"/>
                <w:sz w:val="22"/>
                <w:szCs w:val="22"/>
              </w:rPr>
            </w:pPr>
            <w:r w:rsidRPr="001E280C">
              <w:rPr>
                <w:rFonts w:asciiTheme="minorHAnsi" w:hAnsiTheme="minorHAnsi" w:cs="Calibri"/>
                <w:color w:val="000000"/>
                <w:sz w:val="22"/>
                <w:szCs w:val="22"/>
              </w:rPr>
              <w:t>Analyser la conformité des pièces et procédures dans le cas de la particularité évoquée ci-dessus</w:t>
            </w:r>
          </w:p>
        </w:tc>
      </w:tr>
      <w:tr w:rsidR="00806C9D" w:rsidRPr="001E280C" w:rsidTr="00D66BDF">
        <w:trPr>
          <w:trHeight w:val="300"/>
        </w:trPr>
        <w:tc>
          <w:tcPr>
            <w:tcW w:w="9938" w:type="dxa"/>
            <w:gridSpan w:val="2"/>
            <w:tcBorders>
              <w:top w:val="single" w:sz="4" w:space="0" w:color="auto"/>
              <w:left w:val="single" w:sz="4" w:space="0" w:color="auto"/>
              <w:bottom w:val="single" w:sz="4" w:space="0" w:color="auto"/>
              <w:right w:val="single" w:sz="12" w:space="0" w:color="auto"/>
            </w:tcBorders>
            <w:shd w:val="clear" w:color="auto" w:fill="002060"/>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FFFFFF"/>
                <w:sz w:val="22"/>
                <w:szCs w:val="22"/>
              </w:rPr>
              <w:t>Avenants</w:t>
            </w:r>
            <w:r w:rsidR="00CD3AEE" w:rsidRPr="001E280C">
              <w:rPr>
                <w:rFonts w:asciiTheme="minorHAnsi" w:hAnsiTheme="minorHAnsi" w:cs="Calibri"/>
                <w:color w:val="FFFFFF"/>
                <w:sz w:val="22"/>
                <w:szCs w:val="22"/>
              </w:rPr>
              <w:t>, décision de poursuivre</w:t>
            </w:r>
            <w:r w:rsidRPr="001E280C">
              <w:rPr>
                <w:rFonts w:asciiTheme="minorHAnsi" w:hAnsiTheme="minorHAnsi" w:cs="Calibri"/>
                <w:color w:val="FFFFFF"/>
                <w:sz w:val="22"/>
                <w:szCs w:val="22"/>
              </w:rPr>
              <w:t xml:space="preserve"> et marchés complémentaires</w:t>
            </w:r>
          </w:p>
        </w:tc>
      </w:tr>
      <w:tr w:rsidR="00806C9D" w:rsidRPr="001E280C" w:rsidTr="00486A42">
        <w:trPr>
          <w:trHeight w:val="6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Pièces présentes au dossier</w:t>
            </w:r>
          </w:p>
        </w:tc>
        <w:tc>
          <w:tcPr>
            <w:tcW w:w="6804" w:type="dxa"/>
            <w:tcBorders>
              <w:top w:val="single" w:sz="4" w:space="0" w:color="auto"/>
              <w:left w:val="nil"/>
              <w:bottom w:val="single" w:sz="4" w:space="0" w:color="auto"/>
              <w:right w:val="single" w:sz="12"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806C9D" w:rsidRPr="001E280C" w:rsidTr="00486A42">
        <w:trPr>
          <w:trHeight w:val="6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Absence de bouleversement de l'économie du marché, le cas échéant</w:t>
            </w:r>
          </w:p>
        </w:tc>
        <w:tc>
          <w:tcPr>
            <w:tcW w:w="6804" w:type="dxa"/>
            <w:tcBorders>
              <w:top w:val="single" w:sz="4" w:space="0" w:color="auto"/>
              <w:left w:val="nil"/>
              <w:bottom w:val="single" w:sz="4" w:space="0" w:color="auto"/>
              <w:right w:val="single" w:sz="12" w:space="0" w:color="auto"/>
            </w:tcBorders>
            <w:shd w:val="clear" w:color="auto" w:fill="auto"/>
            <w:vAlign w:val="center"/>
          </w:tcPr>
          <w:p w:rsidR="008A4F1A" w:rsidRPr="001E280C" w:rsidRDefault="008A4F1A" w:rsidP="008A4F1A">
            <w:pPr>
              <w:rPr>
                <w:rFonts w:asciiTheme="minorHAnsi" w:hAnsiTheme="minorHAnsi"/>
                <w:i/>
                <w:color w:val="31849B" w:themeColor="accent5" w:themeShade="BF"/>
                <w:sz w:val="22"/>
                <w:szCs w:val="22"/>
                <w:u w:val="single"/>
              </w:rPr>
            </w:pPr>
            <w:r w:rsidRPr="001E280C">
              <w:rPr>
                <w:rFonts w:asciiTheme="minorHAnsi" w:hAnsiTheme="minorHAnsi" w:cs="Calibri"/>
                <w:i/>
                <w:color w:val="31849B" w:themeColor="accent5" w:themeShade="BF"/>
                <w:sz w:val="24"/>
                <w:szCs w:val="24"/>
              </w:rPr>
              <w:sym w:font="Webdings" w:char="F0A8"/>
            </w:r>
            <w:r w:rsidR="00511113">
              <w:rPr>
                <w:rFonts w:asciiTheme="minorHAnsi" w:hAnsiTheme="minorHAnsi" w:cs="Calibri"/>
                <w:i/>
                <w:color w:val="31849B" w:themeColor="accent5" w:themeShade="BF"/>
                <w:sz w:val="22"/>
                <w:szCs w:val="22"/>
              </w:rPr>
              <w:t xml:space="preserve"> Point 21 </w:t>
            </w:r>
            <w:r w:rsidRPr="001E280C">
              <w:rPr>
                <w:rFonts w:asciiTheme="minorHAnsi" w:hAnsiTheme="minorHAnsi" w:cs="Calibri"/>
                <w:i/>
                <w:color w:val="31849B" w:themeColor="accent5" w:themeShade="BF"/>
                <w:sz w:val="22"/>
                <w:szCs w:val="22"/>
              </w:rPr>
              <w:t xml:space="preserve"> de</w:t>
            </w:r>
            <w:r w:rsidR="00511113">
              <w:rPr>
                <w:rFonts w:asciiTheme="minorHAnsi" w:hAnsiTheme="minorHAnsi" w:cs="Calibri"/>
                <w:i/>
                <w:color w:val="31849B" w:themeColor="accent5" w:themeShade="BF"/>
                <w:sz w:val="22"/>
                <w:szCs w:val="22"/>
              </w:rPr>
              <w:t xml:space="preserve"> la Circulaire du 14 février 2014</w:t>
            </w:r>
            <w:r w:rsidRPr="001E280C">
              <w:rPr>
                <w:rFonts w:asciiTheme="minorHAnsi" w:hAnsiTheme="minorHAnsi" w:cs="Calibri"/>
                <w:i/>
                <w:color w:val="31849B" w:themeColor="accent5" w:themeShade="BF"/>
                <w:sz w:val="22"/>
                <w:szCs w:val="22"/>
              </w:rPr>
              <w:t xml:space="preserve"> relative au Guide de bonnes pratiques en matière de marchés publics</w:t>
            </w:r>
            <w:r w:rsidRPr="001E280C">
              <w:rPr>
                <w:rFonts w:asciiTheme="minorHAnsi" w:hAnsiTheme="minorHAnsi" w:cs="Calibri"/>
                <w:i/>
                <w:color w:val="31849B" w:themeColor="accent5" w:themeShade="BF"/>
                <w:sz w:val="24"/>
                <w:szCs w:val="24"/>
              </w:rPr>
              <w:t xml:space="preserve"> </w:t>
            </w:r>
          </w:p>
          <w:p w:rsidR="00806C9D" w:rsidRDefault="00B227C8" w:rsidP="008A4F1A">
            <w:pPr>
              <w:rPr>
                <w:rStyle w:val="Lienhypertexte"/>
                <w:rFonts w:asciiTheme="minorHAnsi" w:hAnsiTheme="minorHAnsi" w:cs="Calibri"/>
                <w:i/>
                <w:color w:val="31849B" w:themeColor="accent5" w:themeShade="BF"/>
                <w:sz w:val="22"/>
                <w:szCs w:val="22"/>
              </w:rPr>
            </w:pPr>
            <w:hyperlink r:id="rId49" w:history="1">
              <w:r w:rsidR="00511113" w:rsidRPr="008A08E3">
                <w:rPr>
                  <w:rStyle w:val="Lienhypertexte"/>
                  <w:rFonts w:asciiTheme="minorHAnsi" w:hAnsiTheme="minorHAnsi" w:cs="Calibri"/>
                  <w:i/>
                  <w:sz w:val="22"/>
                  <w:szCs w:val="22"/>
                </w:rPr>
                <w:t>https://www.economie.gouv.fr/files/files/directions_services/daj/marches_publics/conseil_acheteurs/guides/guide-bonnes-pratiques-mp.pdf</w:t>
              </w:r>
            </w:hyperlink>
          </w:p>
          <w:p w:rsidR="00511113" w:rsidRPr="001E280C" w:rsidRDefault="00511113" w:rsidP="008A4F1A">
            <w:pPr>
              <w:rPr>
                <w:rFonts w:asciiTheme="minorHAnsi" w:hAnsiTheme="minorHAnsi" w:cs="Calibri"/>
                <w:color w:val="000000"/>
                <w:sz w:val="22"/>
                <w:szCs w:val="22"/>
              </w:rPr>
            </w:pPr>
          </w:p>
        </w:tc>
      </w:tr>
      <w:tr w:rsidR="00806C9D" w:rsidRPr="001E280C" w:rsidTr="00486A42">
        <w:trPr>
          <w:trHeight w:val="9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Régularité de marchés complémentaire, le cas échéant</w:t>
            </w:r>
          </w:p>
        </w:tc>
        <w:tc>
          <w:tcPr>
            <w:tcW w:w="6804" w:type="dxa"/>
            <w:tcBorders>
              <w:top w:val="single" w:sz="4" w:space="0" w:color="auto"/>
              <w:left w:val="nil"/>
              <w:bottom w:val="single" w:sz="4" w:space="0" w:color="auto"/>
              <w:right w:val="single" w:sz="12" w:space="0" w:color="auto"/>
            </w:tcBorders>
            <w:shd w:val="clear" w:color="auto" w:fill="auto"/>
            <w:vAlign w:val="center"/>
            <w:hideMark/>
          </w:tcPr>
          <w:p w:rsidR="00CD3AEE" w:rsidRPr="001E280C" w:rsidRDefault="00806C9D" w:rsidP="00CD3AEE">
            <w:pPr>
              <w:rPr>
                <w:rFonts w:asciiTheme="minorHAnsi" w:hAnsiTheme="minorHAnsi"/>
                <w:i/>
                <w:color w:val="31849B" w:themeColor="accent5" w:themeShade="BF"/>
                <w:sz w:val="22"/>
                <w:szCs w:val="22"/>
                <w:u w:val="single"/>
              </w:rPr>
            </w:pPr>
            <w:r w:rsidRPr="001E280C">
              <w:rPr>
                <w:rFonts w:asciiTheme="minorHAnsi" w:hAnsiTheme="minorHAnsi" w:cs="Calibri"/>
                <w:color w:val="000000"/>
                <w:sz w:val="22"/>
                <w:szCs w:val="22"/>
              </w:rPr>
              <w:t> </w:t>
            </w:r>
            <w:r w:rsidR="00CD3AEE" w:rsidRPr="001E280C">
              <w:rPr>
                <w:rFonts w:asciiTheme="minorHAnsi" w:hAnsiTheme="minorHAnsi" w:cs="Calibri"/>
                <w:i/>
                <w:color w:val="31849B" w:themeColor="accent5" w:themeShade="BF"/>
                <w:sz w:val="24"/>
                <w:szCs w:val="24"/>
              </w:rPr>
              <w:sym w:font="Webdings" w:char="F0A8"/>
            </w:r>
            <w:r w:rsidR="00511113">
              <w:rPr>
                <w:rFonts w:asciiTheme="minorHAnsi" w:hAnsiTheme="minorHAnsi" w:cs="Calibri"/>
                <w:i/>
                <w:color w:val="31849B" w:themeColor="accent5" w:themeShade="BF"/>
                <w:sz w:val="22"/>
                <w:szCs w:val="22"/>
              </w:rPr>
              <w:t xml:space="preserve"> Point 12 </w:t>
            </w:r>
            <w:r w:rsidR="00CD3AEE" w:rsidRPr="001E280C">
              <w:rPr>
                <w:rFonts w:asciiTheme="minorHAnsi" w:hAnsiTheme="minorHAnsi" w:cs="Calibri"/>
                <w:i/>
                <w:color w:val="31849B" w:themeColor="accent5" w:themeShade="BF"/>
                <w:sz w:val="22"/>
                <w:szCs w:val="22"/>
              </w:rPr>
              <w:t xml:space="preserve"> de </w:t>
            </w:r>
            <w:r w:rsidR="00511113">
              <w:rPr>
                <w:rFonts w:asciiTheme="minorHAnsi" w:hAnsiTheme="minorHAnsi" w:cs="Calibri"/>
                <w:i/>
                <w:color w:val="31849B" w:themeColor="accent5" w:themeShade="BF"/>
                <w:sz w:val="22"/>
                <w:szCs w:val="22"/>
              </w:rPr>
              <w:t>la Circulaire du 14 février 2014</w:t>
            </w:r>
            <w:r w:rsidR="00CD3AEE" w:rsidRPr="001E280C">
              <w:rPr>
                <w:rFonts w:asciiTheme="minorHAnsi" w:hAnsiTheme="minorHAnsi" w:cs="Calibri"/>
                <w:i/>
                <w:color w:val="31849B" w:themeColor="accent5" w:themeShade="BF"/>
                <w:sz w:val="22"/>
                <w:szCs w:val="22"/>
              </w:rPr>
              <w:t xml:space="preserve"> relative au Guide de bonnes pratiques en matière de marchés publics</w:t>
            </w:r>
            <w:r w:rsidR="00CD3AEE" w:rsidRPr="001E280C">
              <w:rPr>
                <w:rFonts w:asciiTheme="minorHAnsi" w:hAnsiTheme="minorHAnsi" w:cs="Calibri"/>
                <w:i/>
                <w:color w:val="31849B" w:themeColor="accent5" w:themeShade="BF"/>
                <w:sz w:val="24"/>
                <w:szCs w:val="24"/>
              </w:rPr>
              <w:t xml:space="preserve"> </w:t>
            </w:r>
          </w:p>
          <w:p w:rsidR="00806C9D" w:rsidRDefault="00B227C8" w:rsidP="00CD3AEE">
            <w:pPr>
              <w:rPr>
                <w:rStyle w:val="Lienhypertexte"/>
                <w:rFonts w:asciiTheme="minorHAnsi" w:hAnsiTheme="minorHAnsi" w:cs="Calibri"/>
                <w:i/>
                <w:color w:val="31849B" w:themeColor="accent5" w:themeShade="BF"/>
                <w:sz w:val="22"/>
                <w:szCs w:val="22"/>
              </w:rPr>
            </w:pPr>
            <w:hyperlink r:id="rId50" w:history="1">
              <w:r w:rsidR="00511113" w:rsidRPr="008A08E3">
                <w:rPr>
                  <w:rStyle w:val="Lienhypertexte"/>
                  <w:rFonts w:asciiTheme="minorHAnsi" w:hAnsiTheme="minorHAnsi" w:cs="Calibri"/>
                  <w:i/>
                  <w:sz w:val="22"/>
                  <w:szCs w:val="22"/>
                </w:rPr>
                <w:t>https://www.economie.gouv.fr/files/files/directions_services/daj/marches_publics/conseil_acheteurs/guides/guide-bonnes-pratiques-mp.pdf</w:t>
              </w:r>
            </w:hyperlink>
          </w:p>
          <w:p w:rsidR="00511113" w:rsidRPr="001E280C" w:rsidRDefault="00511113" w:rsidP="00CD3AEE">
            <w:pPr>
              <w:rPr>
                <w:rFonts w:asciiTheme="minorHAnsi" w:hAnsiTheme="minorHAnsi" w:cs="Calibri"/>
                <w:color w:val="000000"/>
                <w:sz w:val="22"/>
                <w:szCs w:val="22"/>
              </w:rPr>
            </w:pPr>
          </w:p>
        </w:tc>
      </w:tr>
      <w:tr w:rsidR="00806C9D" w:rsidRPr="001E280C" w:rsidTr="00486A42">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804" w:type="dxa"/>
            <w:tcBorders>
              <w:top w:val="single" w:sz="4" w:space="0" w:color="auto"/>
              <w:left w:val="nil"/>
              <w:bottom w:val="single" w:sz="4" w:space="0" w:color="auto"/>
              <w:right w:val="single" w:sz="12" w:space="0" w:color="auto"/>
            </w:tcBorders>
            <w:shd w:val="clear" w:color="auto" w:fill="auto"/>
            <w:vAlign w:val="center"/>
            <w:hideMark/>
          </w:tcPr>
          <w:p w:rsidR="00806C9D" w:rsidRPr="001E280C" w:rsidRDefault="00806C9D" w:rsidP="006A5B16">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bl>
    <w:p w:rsidR="00486A42" w:rsidRPr="001E280C" w:rsidRDefault="00486A42" w:rsidP="00DE5B0B">
      <w:pPr>
        <w:rPr>
          <w:rFonts w:asciiTheme="minorHAnsi" w:hAnsiTheme="minorHAnsi" w:cstheme="minorHAnsi"/>
        </w:rPr>
      </w:pPr>
      <w:r w:rsidRPr="001E280C">
        <w:rPr>
          <w:rFonts w:asciiTheme="minorHAnsi" w:hAnsiTheme="minorHAnsi" w:cstheme="minorHAnsi"/>
        </w:rPr>
        <w:br w:type="page"/>
      </w:r>
    </w:p>
    <w:p w:rsidR="00486A42" w:rsidRPr="001E280C" w:rsidRDefault="00486A42" w:rsidP="00486A42">
      <w:pPr>
        <w:numPr>
          <w:ilvl w:val="0"/>
          <w:numId w:val="24"/>
        </w:numPr>
        <w:jc w:val="both"/>
        <w:rPr>
          <w:rFonts w:asciiTheme="minorHAnsi" w:hAnsiTheme="minorHAnsi" w:cs="Calibri"/>
          <w:b/>
          <w:i/>
          <w:iCs/>
          <w:color w:val="0070C0"/>
          <w:sz w:val="32"/>
          <w:szCs w:val="32"/>
          <w:u w:val="single"/>
        </w:rPr>
      </w:pPr>
      <w:r w:rsidRPr="001E280C">
        <w:rPr>
          <w:rFonts w:asciiTheme="minorHAnsi" w:hAnsiTheme="minorHAnsi" w:cs="Calibri"/>
          <w:b/>
          <w:i/>
          <w:iCs/>
          <w:color w:val="0070C0"/>
          <w:sz w:val="32"/>
          <w:szCs w:val="32"/>
          <w:u w:val="single"/>
        </w:rPr>
        <w:t>Autres contrats</w:t>
      </w:r>
    </w:p>
    <w:p w:rsidR="00806C9D" w:rsidRPr="001E280C" w:rsidRDefault="00806C9D" w:rsidP="00DE5B0B">
      <w:pPr>
        <w:rPr>
          <w:rFonts w:asciiTheme="minorHAnsi" w:hAnsiTheme="minorHAnsi" w:cstheme="minorHAnsi"/>
        </w:rPr>
      </w:pPr>
    </w:p>
    <w:p w:rsidR="00486A42" w:rsidRPr="001E280C" w:rsidRDefault="00486A42" w:rsidP="00DE5B0B">
      <w:pPr>
        <w:rPr>
          <w:rFonts w:asciiTheme="minorHAnsi" w:hAnsiTheme="minorHAnsi" w:cstheme="minorHAnsi"/>
        </w:rPr>
      </w:pPr>
    </w:p>
    <w:tbl>
      <w:tblPr>
        <w:tblW w:w="9938" w:type="dxa"/>
        <w:tblInd w:w="55" w:type="dxa"/>
        <w:tblLayout w:type="fixed"/>
        <w:tblCellMar>
          <w:left w:w="70" w:type="dxa"/>
          <w:right w:w="70" w:type="dxa"/>
        </w:tblCellMar>
        <w:tblLook w:val="04A0" w:firstRow="1" w:lastRow="0" w:firstColumn="1" w:lastColumn="0" w:noHBand="0" w:noVBand="1"/>
      </w:tblPr>
      <w:tblGrid>
        <w:gridCol w:w="3134"/>
        <w:gridCol w:w="6804"/>
      </w:tblGrid>
      <w:tr w:rsidR="00486A42" w:rsidRPr="001E280C" w:rsidTr="00160765">
        <w:trPr>
          <w:trHeight w:val="300"/>
        </w:trPr>
        <w:tc>
          <w:tcPr>
            <w:tcW w:w="9938"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486A42" w:rsidRPr="001E280C" w:rsidRDefault="00486A42" w:rsidP="00160765">
            <w:pPr>
              <w:rPr>
                <w:rFonts w:asciiTheme="minorHAnsi" w:hAnsiTheme="minorHAnsi" w:cs="Calibri"/>
                <w:b/>
                <w:sz w:val="22"/>
                <w:szCs w:val="22"/>
              </w:rPr>
            </w:pPr>
            <w:r w:rsidRPr="001E280C">
              <w:rPr>
                <w:rFonts w:asciiTheme="minorHAnsi" w:hAnsiTheme="minorHAnsi" w:cs="Calibri"/>
                <w:b/>
                <w:sz w:val="22"/>
                <w:szCs w:val="22"/>
              </w:rPr>
              <w:t>Contrat n°</w:t>
            </w:r>
            <w:r w:rsidRPr="005B3897">
              <w:rPr>
                <w:rFonts w:asciiTheme="minorHAnsi" w:hAnsiTheme="minorHAnsi" w:cs="Calibri"/>
                <w:b/>
                <w:sz w:val="22"/>
                <w:szCs w:val="22"/>
              </w:rPr>
              <w:t xml:space="preserve">1 : </w:t>
            </w:r>
            <w:r w:rsidRPr="005B3897">
              <w:rPr>
                <w:rFonts w:asciiTheme="minorHAnsi" w:hAnsiTheme="minorHAnsi" w:cs="Calibri"/>
                <w:b/>
                <w:i/>
                <w:sz w:val="22"/>
                <w:szCs w:val="22"/>
              </w:rPr>
              <w:t>intitulé</w:t>
            </w:r>
          </w:p>
        </w:tc>
      </w:tr>
      <w:tr w:rsidR="00486A42" w:rsidRPr="001E280C" w:rsidTr="00160765">
        <w:trPr>
          <w:trHeight w:val="300"/>
        </w:trPr>
        <w:tc>
          <w:tcPr>
            <w:tcW w:w="9938" w:type="dxa"/>
            <w:gridSpan w:val="2"/>
            <w:tcBorders>
              <w:top w:val="single" w:sz="4" w:space="0" w:color="auto"/>
              <w:left w:val="single" w:sz="4" w:space="0" w:color="auto"/>
              <w:bottom w:val="single" w:sz="4" w:space="0" w:color="auto"/>
              <w:right w:val="single" w:sz="12" w:space="0" w:color="auto"/>
            </w:tcBorders>
            <w:shd w:val="clear" w:color="auto" w:fill="002060"/>
            <w:vAlign w:val="center"/>
          </w:tcPr>
          <w:p w:rsidR="00486A42" w:rsidRPr="001E280C" w:rsidRDefault="00486A42" w:rsidP="00160765">
            <w:pPr>
              <w:rPr>
                <w:rFonts w:asciiTheme="minorHAnsi" w:hAnsiTheme="minorHAnsi" w:cs="Calibri"/>
                <w:color w:val="FFFFFF"/>
                <w:sz w:val="22"/>
                <w:szCs w:val="22"/>
              </w:rPr>
            </w:pPr>
            <w:r w:rsidRPr="001E280C">
              <w:rPr>
                <w:rFonts w:asciiTheme="minorHAnsi" w:hAnsiTheme="minorHAnsi" w:cs="Calibri"/>
                <w:color w:val="FFFFFF"/>
                <w:sz w:val="22"/>
                <w:szCs w:val="22"/>
              </w:rPr>
              <w:t>Obligation de transparence</w:t>
            </w:r>
          </w:p>
        </w:tc>
      </w:tr>
      <w:tr w:rsidR="00486A42" w:rsidRPr="001E280C" w:rsidTr="00160765">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Pièces présentes au dossier</w:t>
            </w:r>
          </w:p>
        </w:tc>
        <w:tc>
          <w:tcPr>
            <w:tcW w:w="6804" w:type="dxa"/>
            <w:tcBorders>
              <w:top w:val="single" w:sz="4" w:space="0" w:color="auto"/>
              <w:left w:val="nil"/>
              <w:bottom w:val="single" w:sz="4" w:space="0" w:color="auto"/>
              <w:right w:val="single" w:sz="12"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486A42" w:rsidRPr="001E280C" w:rsidTr="00160765">
        <w:trPr>
          <w:trHeight w:val="6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Mise en concurrence et publicité adaptée à l’objet, à la durée et au montant du contrat</w:t>
            </w:r>
          </w:p>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(degré de publicité adéquat)</w:t>
            </w:r>
          </w:p>
        </w:tc>
        <w:tc>
          <w:tcPr>
            <w:tcW w:w="6804" w:type="dxa"/>
            <w:tcBorders>
              <w:top w:val="nil"/>
              <w:left w:val="nil"/>
              <w:bottom w:val="single" w:sz="4" w:space="0" w:color="auto"/>
              <w:right w:val="single" w:sz="12" w:space="0" w:color="auto"/>
            </w:tcBorders>
            <w:shd w:val="clear" w:color="auto" w:fill="auto"/>
            <w:vAlign w:val="center"/>
            <w:hideMark/>
          </w:tcPr>
          <w:p w:rsidR="001E280C" w:rsidRPr="001E280C" w:rsidRDefault="00486A42" w:rsidP="001E280C">
            <w:pPr>
              <w:rPr>
                <w:rFonts w:asciiTheme="minorHAnsi" w:hAnsiTheme="minorHAnsi" w:cs="Calibri"/>
                <w:i/>
                <w:color w:val="31849B" w:themeColor="accent5" w:themeShade="BF"/>
                <w:sz w:val="24"/>
                <w:szCs w:val="24"/>
              </w:rPr>
            </w:pPr>
            <w:r w:rsidRPr="001E280C">
              <w:rPr>
                <w:rFonts w:asciiTheme="minorHAnsi" w:hAnsiTheme="minorHAnsi" w:cs="Calibri"/>
                <w:color w:val="000000"/>
                <w:sz w:val="22"/>
                <w:szCs w:val="22"/>
              </w:rPr>
              <w:t> </w:t>
            </w:r>
            <w:r w:rsidR="001E280C" w:rsidRPr="001E280C">
              <w:rPr>
                <w:rFonts w:asciiTheme="minorHAnsi" w:hAnsiTheme="minorHAnsi" w:cs="Calibri"/>
                <w:i/>
                <w:color w:val="31849B" w:themeColor="accent5" w:themeShade="BF"/>
                <w:sz w:val="24"/>
                <w:szCs w:val="24"/>
              </w:rPr>
              <w:sym w:font="Webdings" w:char="F0A8"/>
            </w:r>
            <w:r w:rsidR="0034373C">
              <w:rPr>
                <w:rFonts w:asciiTheme="minorHAnsi" w:hAnsiTheme="minorHAnsi" w:cs="Calibri"/>
                <w:i/>
                <w:color w:val="31849B" w:themeColor="accent5" w:themeShade="BF"/>
                <w:sz w:val="24"/>
                <w:szCs w:val="24"/>
              </w:rPr>
              <w:t xml:space="preserve"> </w:t>
            </w:r>
            <w:r w:rsidR="001E280C" w:rsidRPr="001E280C">
              <w:rPr>
                <w:rFonts w:asciiTheme="minorHAnsi" w:hAnsiTheme="minorHAnsi" w:cs="Calibri"/>
                <w:i/>
                <w:color w:val="31849B" w:themeColor="accent5" w:themeShade="BF"/>
                <w:sz w:val="22"/>
                <w:szCs w:val="22"/>
              </w:rPr>
              <w:t>Point 2.1 de la Communication interprétative de la Commission du 23 juin 2006 relative au droit communautaire applicable aux passations de marchés non soumises ou partiellement soumises aux directives «marchés publics» :</w:t>
            </w:r>
          </w:p>
          <w:p w:rsidR="001E280C" w:rsidRPr="001E280C" w:rsidRDefault="00B227C8" w:rsidP="001E280C">
            <w:pPr>
              <w:rPr>
                <w:rFonts w:asciiTheme="minorHAnsi" w:hAnsiTheme="minorHAnsi"/>
                <w:i/>
                <w:color w:val="31849B" w:themeColor="accent5" w:themeShade="BF"/>
                <w:u w:val="single"/>
              </w:rPr>
            </w:pPr>
            <w:hyperlink r:id="rId51" w:history="1">
              <w:r w:rsidR="001E280C" w:rsidRPr="001E280C">
                <w:rPr>
                  <w:rStyle w:val="Lienhypertexte"/>
                  <w:rFonts w:asciiTheme="minorHAnsi" w:hAnsiTheme="minorHAnsi"/>
                  <w:i/>
                </w:rPr>
                <w:t>http://eur-lex.europa.eu/LexUriServ/LexUriServ.do?uri=OJ:C:2006:179:0002:0007:FR:PDF</w:t>
              </w:r>
            </w:hyperlink>
          </w:p>
        </w:tc>
      </w:tr>
      <w:tr w:rsidR="00486A42" w:rsidRPr="001E280C" w:rsidTr="00160765">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804" w:type="dxa"/>
            <w:tcBorders>
              <w:top w:val="nil"/>
              <w:left w:val="nil"/>
              <w:bottom w:val="single" w:sz="4" w:space="0" w:color="auto"/>
              <w:right w:val="single" w:sz="12"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486A42" w:rsidRPr="001E280C" w:rsidTr="00160765">
        <w:trPr>
          <w:trHeight w:val="300"/>
        </w:trPr>
        <w:tc>
          <w:tcPr>
            <w:tcW w:w="9938" w:type="dxa"/>
            <w:gridSpan w:val="2"/>
            <w:tcBorders>
              <w:top w:val="nil"/>
              <w:left w:val="single" w:sz="4" w:space="0" w:color="auto"/>
              <w:bottom w:val="single" w:sz="4" w:space="0" w:color="auto"/>
              <w:right w:val="single" w:sz="12" w:space="0" w:color="auto"/>
            </w:tcBorders>
            <w:shd w:val="clear" w:color="auto" w:fill="002060"/>
            <w:vAlign w:val="center"/>
          </w:tcPr>
          <w:p w:rsidR="00486A42" w:rsidRPr="001E280C" w:rsidRDefault="00486A42" w:rsidP="00160765">
            <w:pPr>
              <w:rPr>
                <w:rFonts w:asciiTheme="minorHAnsi" w:hAnsiTheme="minorHAnsi" w:cs="Calibri"/>
                <w:color w:val="FFFFFF"/>
                <w:sz w:val="22"/>
                <w:szCs w:val="22"/>
              </w:rPr>
            </w:pPr>
            <w:r w:rsidRPr="001E280C">
              <w:rPr>
                <w:rFonts w:asciiTheme="minorHAnsi" w:hAnsiTheme="minorHAnsi" w:cs="Calibri"/>
                <w:color w:val="FFFFFF"/>
                <w:sz w:val="22"/>
                <w:szCs w:val="22"/>
              </w:rPr>
              <w:t>Egalité de traitement</w:t>
            </w:r>
          </w:p>
        </w:tc>
      </w:tr>
      <w:tr w:rsidR="00486A42" w:rsidRPr="001E280C" w:rsidTr="00160765">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Pièces présentes au dossier</w:t>
            </w:r>
          </w:p>
        </w:tc>
        <w:tc>
          <w:tcPr>
            <w:tcW w:w="6804" w:type="dxa"/>
            <w:tcBorders>
              <w:top w:val="nil"/>
              <w:left w:val="nil"/>
              <w:bottom w:val="single" w:sz="4" w:space="0" w:color="auto"/>
              <w:right w:val="single" w:sz="12"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486A42" w:rsidRPr="001E280C" w:rsidTr="00160765">
        <w:trPr>
          <w:trHeight w:val="6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Egalité des informations fournies aux candidats potentiels</w:t>
            </w:r>
          </w:p>
        </w:tc>
        <w:tc>
          <w:tcPr>
            <w:tcW w:w="6804" w:type="dxa"/>
            <w:tcBorders>
              <w:top w:val="nil"/>
              <w:left w:val="nil"/>
              <w:bottom w:val="single" w:sz="4" w:space="0" w:color="auto"/>
              <w:right w:val="single" w:sz="12" w:space="0" w:color="auto"/>
            </w:tcBorders>
            <w:shd w:val="clear" w:color="auto" w:fill="auto"/>
            <w:vAlign w:val="center"/>
            <w:hideMark/>
          </w:tcPr>
          <w:p w:rsidR="008574CB" w:rsidRPr="001E280C" w:rsidRDefault="00486A42" w:rsidP="008574CB">
            <w:pPr>
              <w:rPr>
                <w:rFonts w:asciiTheme="minorHAnsi" w:hAnsiTheme="minorHAnsi" w:cs="Calibri"/>
                <w:i/>
                <w:color w:val="31849B" w:themeColor="accent5" w:themeShade="BF"/>
                <w:sz w:val="24"/>
                <w:szCs w:val="24"/>
              </w:rPr>
            </w:pPr>
            <w:r w:rsidRPr="001E280C">
              <w:rPr>
                <w:rFonts w:asciiTheme="minorHAnsi" w:hAnsiTheme="minorHAnsi" w:cs="Calibri"/>
                <w:color w:val="000000"/>
                <w:sz w:val="22"/>
                <w:szCs w:val="22"/>
              </w:rPr>
              <w:t> </w:t>
            </w:r>
            <w:r w:rsidR="008574CB" w:rsidRPr="001E280C">
              <w:rPr>
                <w:rFonts w:asciiTheme="minorHAnsi" w:hAnsiTheme="minorHAnsi" w:cs="Calibri"/>
                <w:i/>
                <w:color w:val="31849B" w:themeColor="accent5" w:themeShade="BF"/>
                <w:sz w:val="24"/>
                <w:szCs w:val="24"/>
              </w:rPr>
              <w:sym w:font="Webdings" w:char="F0A8"/>
            </w:r>
            <w:r w:rsidR="008574CB">
              <w:rPr>
                <w:rFonts w:asciiTheme="minorHAnsi" w:hAnsiTheme="minorHAnsi" w:cs="Calibri"/>
                <w:i/>
                <w:color w:val="31849B" w:themeColor="accent5" w:themeShade="BF"/>
                <w:sz w:val="24"/>
                <w:szCs w:val="24"/>
              </w:rPr>
              <w:t xml:space="preserve"> </w:t>
            </w:r>
            <w:r w:rsidR="008574CB" w:rsidRPr="001E280C">
              <w:rPr>
                <w:rFonts w:asciiTheme="minorHAnsi" w:hAnsiTheme="minorHAnsi" w:cs="Calibri"/>
                <w:i/>
                <w:color w:val="31849B" w:themeColor="accent5" w:themeShade="BF"/>
                <w:sz w:val="22"/>
                <w:szCs w:val="22"/>
              </w:rPr>
              <w:t>Point 2.1 de la Communication interprétative de la Commission du 23 juin 2006 relative au droit communautaire applicable aux passations de marchés non soumises ou partiellement soumises aux directives «marchés publics» :</w:t>
            </w:r>
          </w:p>
          <w:p w:rsidR="00486A42" w:rsidRPr="001E280C" w:rsidRDefault="00B227C8" w:rsidP="008574CB">
            <w:pPr>
              <w:rPr>
                <w:rFonts w:asciiTheme="minorHAnsi" w:hAnsiTheme="minorHAnsi" w:cs="Calibri"/>
                <w:color w:val="000000"/>
                <w:sz w:val="22"/>
                <w:szCs w:val="22"/>
              </w:rPr>
            </w:pPr>
            <w:hyperlink r:id="rId52" w:history="1">
              <w:r w:rsidR="008574CB" w:rsidRPr="001E280C">
                <w:rPr>
                  <w:rStyle w:val="Lienhypertexte"/>
                  <w:rFonts w:asciiTheme="minorHAnsi" w:hAnsiTheme="minorHAnsi"/>
                  <w:i/>
                </w:rPr>
                <w:t>http://eur-lex.europa.eu/LexUriServ/LexUriServ.do?uri=OJ:C:2006:179:0002:0007:FR:PDF</w:t>
              </w:r>
            </w:hyperlink>
          </w:p>
        </w:tc>
      </w:tr>
      <w:tr w:rsidR="0034373C" w:rsidRPr="001E280C" w:rsidTr="00160765">
        <w:trPr>
          <w:trHeight w:val="600"/>
        </w:trPr>
        <w:tc>
          <w:tcPr>
            <w:tcW w:w="3134" w:type="dxa"/>
            <w:tcBorders>
              <w:top w:val="nil"/>
              <w:left w:val="single" w:sz="4" w:space="0" w:color="auto"/>
              <w:bottom w:val="single" w:sz="4" w:space="0" w:color="auto"/>
              <w:right w:val="single" w:sz="4" w:space="0" w:color="auto"/>
            </w:tcBorders>
            <w:shd w:val="clear" w:color="auto" w:fill="auto"/>
            <w:vAlign w:val="center"/>
          </w:tcPr>
          <w:p w:rsidR="0034373C" w:rsidRPr="001E280C" w:rsidRDefault="0034373C" w:rsidP="00160765">
            <w:pPr>
              <w:rPr>
                <w:rFonts w:asciiTheme="minorHAnsi" w:hAnsiTheme="minorHAnsi" w:cs="Calibri"/>
                <w:color w:val="000000"/>
                <w:sz w:val="22"/>
                <w:szCs w:val="22"/>
              </w:rPr>
            </w:pPr>
            <w:r w:rsidRPr="001E280C">
              <w:rPr>
                <w:rFonts w:asciiTheme="minorHAnsi" w:hAnsiTheme="minorHAnsi" w:cs="Calibri"/>
                <w:color w:val="000000"/>
                <w:sz w:val="22"/>
                <w:szCs w:val="22"/>
              </w:rPr>
              <w:t>Egalité de traitement des candidats lors de la phase de négociation</w:t>
            </w:r>
          </w:p>
        </w:tc>
        <w:tc>
          <w:tcPr>
            <w:tcW w:w="6804" w:type="dxa"/>
            <w:tcBorders>
              <w:top w:val="nil"/>
              <w:left w:val="nil"/>
              <w:bottom w:val="single" w:sz="4" w:space="0" w:color="auto"/>
              <w:right w:val="single" w:sz="12" w:space="0" w:color="auto"/>
            </w:tcBorders>
            <w:shd w:val="clear" w:color="auto" w:fill="auto"/>
            <w:vAlign w:val="center"/>
          </w:tcPr>
          <w:p w:rsidR="0034373C" w:rsidRPr="001E280C" w:rsidRDefault="0034373C" w:rsidP="00160765">
            <w:pPr>
              <w:rPr>
                <w:rFonts w:asciiTheme="minorHAnsi" w:hAnsiTheme="minorHAnsi" w:cs="Calibri"/>
                <w:color w:val="000000"/>
                <w:sz w:val="22"/>
                <w:szCs w:val="22"/>
              </w:rPr>
            </w:pPr>
          </w:p>
        </w:tc>
      </w:tr>
      <w:tr w:rsidR="00486A42" w:rsidRPr="001E280C" w:rsidTr="00160765">
        <w:trPr>
          <w:trHeight w:val="40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804" w:type="dxa"/>
            <w:tcBorders>
              <w:top w:val="nil"/>
              <w:left w:val="nil"/>
              <w:bottom w:val="single" w:sz="4" w:space="0" w:color="auto"/>
              <w:right w:val="single" w:sz="12"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486A42" w:rsidRPr="001E280C" w:rsidTr="00160765">
        <w:trPr>
          <w:trHeight w:val="300"/>
        </w:trPr>
        <w:tc>
          <w:tcPr>
            <w:tcW w:w="9938" w:type="dxa"/>
            <w:gridSpan w:val="2"/>
            <w:tcBorders>
              <w:top w:val="nil"/>
              <w:left w:val="single" w:sz="4" w:space="0" w:color="auto"/>
              <w:bottom w:val="single" w:sz="4" w:space="0" w:color="auto"/>
              <w:right w:val="single" w:sz="12" w:space="0" w:color="auto"/>
            </w:tcBorders>
            <w:shd w:val="clear" w:color="auto" w:fill="002060"/>
            <w:vAlign w:val="center"/>
          </w:tcPr>
          <w:p w:rsidR="00486A42" w:rsidRPr="001E280C" w:rsidRDefault="00486A42" w:rsidP="00160765">
            <w:pPr>
              <w:rPr>
                <w:rFonts w:asciiTheme="minorHAnsi" w:hAnsiTheme="minorHAnsi" w:cs="Calibri"/>
                <w:color w:val="FFFFFF"/>
                <w:sz w:val="22"/>
                <w:szCs w:val="22"/>
              </w:rPr>
            </w:pPr>
            <w:r w:rsidRPr="001E280C">
              <w:rPr>
                <w:rFonts w:asciiTheme="minorHAnsi" w:hAnsiTheme="minorHAnsi" w:cs="Calibri"/>
                <w:color w:val="FFFFFF"/>
                <w:sz w:val="22"/>
                <w:szCs w:val="22"/>
              </w:rPr>
              <w:t>Non-discrimination</w:t>
            </w:r>
          </w:p>
        </w:tc>
      </w:tr>
      <w:tr w:rsidR="00486A42" w:rsidRPr="001E280C" w:rsidTr="00160765">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Pièces présentes au dossier</w:t>
            </w:r>
          </w:p>
        </w:tc>
        <w:tc>
          <w:tcPr>
            <w:tcW w:w="6804" w:type="dxa"/>
            <w:tcBorders>
              <w:top w:val="nil"/>
              <w:left w:val="nil"/>
              <w:bottom w:val="single" w:sz="4" w:space="0" w:color="auto"/>
              <w:right w:val="single" w:sz="12"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486A42" w:rsidRPr="001E280C" w:rsidTr="00160765">
        <w:trPr>
          <w:trHeight w:val="6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Critères de sélection des offres non-discriminants clairs et  communiqués aux candidats potentiels</w:t>
            </w:r>
          </w:p>
        </w:tc>
        <w:tc>
          <w:tcPr>
            <w:tcW w:w="6804" w:type="dxa"/>
            <w:tcBorders>
              <w:top w:val="nil"/>
              <w:left w:val="nil"/>
              <w:bottom w:val="single" w:sz="4" w:space="0" w:color="auto"/>
              <w:right w:val="single" w:sz="12"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r w:rsidR="0040678B" w:rsidRPr="001E280C" w:rsidTr="00160765">
        <w:trPr>
          <w:trHeight w:val="600"/>
        </w:trPr>
        <w:tc>
          <w:tcPr>
            <w:tcW w:w="3134" w:type="dxa"/>
            <w:tcBorders>
              <w:top w:val="nil"/>
              <w:left w:val="single" w:sz="4" w:space="0" w:color="auto"/>
              <w:bottom w:val="single" w:sz="4" w:space="0" w:color="auto"/>
              <w:right w:val="single" w:sz="4" w:space="0" w:color="auto"/>
            </w:tcBorders>
            <w:shd w:val="clear" w:color="auto" w:fill="auto"/>
            <w:vAlign w:val="center"/>
          </w:tcPr>
          <w:p w:rsidR="0040678B" w:rsidRPr="001E280C" w:rsidRDefault="0040678B" w:rsidP="00160765">
            <w:pPr>
              <w:rPr>
                <w:rFonts w:asciiTheme="minorHAnsi" w:hAnsiTheme="minorHAnsi" w:cs="Calibri"/>
                <w:color w:val="000000"/>
                <w:sz w:val="22"/>
                <w:szCs w:val="22"/>
              </w:rPr>
            </w:pPr>
            <w:r w:rsidRPr="001E280C">
              <w:rPr>
                <w:rFonts w:asciiTheme="minorHAnsi" w:hAnsiTheme="minorHAnsi" w:cs="Calibri"/>
                <w:color w:val="000000"/>
                <w:sz w:val="22"/>
                <w:szCs w:val="22"/>
              </w:rPr>
              <w:t>Application des critères définis dans la phase de sélection.</w:t>
            </w:r>
          </w:p>
        </w:tc>
        <w:tc>
          <w:tcPr>
            <w:tcW w:w="6804" w:type="dxa"/>
            <w:tcBorders>
              <w:top w:val="nil"/>
              <w:left w:val="nil"/>
              <w:bottom w:val="single" w:sz="4" w:space="0" w:color="auto"/>
              <w:right w:val="single" w:sz="12" w:space="0" w:color="auto"/>
            </w:tcBorders>
            <w:shd w:val="clear" w:color="auto" w:fill="auto"/>
            <w:vAlign w:val="center"/>
          </w:tcPr>
          <w:p w:rsidR="0040678B" w:rsidRPr="001E280C" w:rsidRDefault="0040678B" w:rsidP="00160765">
            <w:pPr>
              <w:rPr>
                <w:rFonts w:asciiTheme="minorHAnsi" w:hAnsiTheme="minorHAnsi" w:cs="Calibri"/>
                <w:color w:val="000000"/>
                <w:sz w:val="22"/>
                <w:szCs w:val="22"/>
              </w:rPr>
            </w:pPr>
          </w:p>
        </w:tc>
      </w:tr>
      <w:tr w:rsidR="00486A42" w:rsidRPr="001E280C" w:rsidTr="00160765">
        <w:trPr>
          <w:trHeight w:val="5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Conformité</w:t>
            </w:r>
          </w:p>
        </w:tc>
        <w:tc>
          <w:tcPr>
            <w:tcW w:w="6804" w:type="dxa"/>
            <w:tcBorders>
              <w:top w:val="nil"/>
              <w:left w:val="nil"/>
              <w:bottom w:val="single" w:sz="4" w:space="0" w:color="auto"/>
              <w:right w:val="single" w:sz="12" w:space="0" w:color="auto"/>
            </w:tcBorders>
            <w:shd w:val="clear" w:color="auto" w:fill="auto"/>
            <w:vAlign w:val="center"/>
            <w:hideMark/>
          </w:tcPr>
          <w:p w:rsidR="00486A42" w:rsidRPr="001E280C" w:rsidRDefault="00486A42" w:rsidP="00160765">
            <w:pPr>
              <w:rPr>
                <w:rFonts w:asciiTheme="minorHAnsi" w:hAnsiTheme="minorHAnsi" w:cs="Calibri"/>
                <w:color w:val="000000"/>
                <w:sz w:val="22"/>
                <w:szCs w:val="22"/>
              </w:rPr>
            </w:pPr>
            <w:r w:rsidRPr="001E280C">
              <w:rPr>
                <w:rFonts w:asciiTheme="minorHAnsi" w:hAnsiTheme="minorHAnsi" w:cs="Calibri"/>
                <w:color w:val="000000"/>
                <w:sz w:val="22"/>
                <w:szCs w:val="22"/>
              </w:rPr>
              <w:t> </w:t>
            </w:r>
          </w:p>
        </w:tc>
      </w:tr>
    </w:tbl>
    <w:p w:rsidR="00486A42" w:rsidRPr="001E280C" w:rsidRDefault="00486A42" w:rsidP="00DE5B0B">
      <w:pPr>
        <w:rPr>
          <w:rFonts w:asciiTheme="minorHAnsi" w:hAnsiTheme="minorHAnsi" w:cstheme="minorHAnsi"/>
        </w:rPr>
      </w:pPr>
    </w:p>
    <w:sectPr w:rsidR="00486A42" w:rsidRPr="001E280C" w:rsidSect="00A93202">
      <w:pgSz w:w="11906" w:h="16838"/>
      <w:pgMar w:top="993" w:right="1417" w:bottom="1417" w:left="851" w:header="708"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D2" w:rsidRDefault="009F39D2" w:rsidP="002B554F">
      <w:r>
        <w:separator/>
      </w:r>
    </w:p>
  </w:endnote>
  <w:endnote w:type="continuationSeparator" w:id="0">
    <w:p w:rsidR="009F39D2" w:rsidRDefault="009F39D2" w:rsidP="002B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202521"/>
      <w:docPartObj>
        <w:docPartGallery w:val="Page Numbers (Bottom of Page)"/>
        <w:docPartUnique/>
      </w:docPartObj>
    </w:sdtPr>
    <w:sdtEndPr/>
    <w:sdtContent>
      <w:p w:rsidR="002B554F" w:rsidRDefault="002B554F">
        <w:pPr>
          <w:pStyle w:val="Pieddepage"/>
          <w:jc w:val="right"/>
        </w:pPr>
        <w:r>
          <w:fldChar w:fldCharType="begin"/>
        </w:r>
        <w:r>
          <w:instrText>PAGE   \* MERGEFORMAT</w:instrText>
        </w:r>
        <w:r>
          <w:fldChar w:fldCharType="separate"/>
        </w:r>
        <w:r w:rsidR="00B227C8">
          <w:rPr>
            <w:noProof/>
          </w:rPr>
          <w:t>2</w:t>
        </w:r>
        <w:r>
          <w:fldChar w:fldCharType="end"/>
        </w:r>
      </w:p>
    </w:sdtContent>
  </w:sdt>
  <w:p w:rsidR="002B554F" w:rsidRDefault="00FE0C1F" w:rsidP="00D77001">
    <w:pPr>
      <w:pStyle w:val="Pieddepage"/>
      <w:tabs>
        <w:tab w:val="clear" w:pos="9072"/>
        <w:tab w:val="right" w:pos="8364"/>
      </w:tabs>
      <w:ind w:right="567"/>
      <w:jc w:val="right"/>
    </w:pPr>
    <w:r>
      <w:rPr>
        <w:noProof/>
      </w:rPr>
      <w:drawing>
        <wp:inline distT="0" distB="0" distL="0" distR="0" wp14:anchorId="62A560EE" wp14:editId="7D8478FA">
          <wp:extent cx="829340" cy="638518"/>
          <wp:effectExtent l="0" t="0" r="8890" b="9525"/>
          <wp:docPr id="1052" name="Picture 7" descr="SENGAGE_EURO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7" descr="SENGAGE_EUROP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21" cy="639966"/>
                  </a:xfrm>
                  <a:prstGeom prst="rect">
                    <a:avLst/>
                  </a:prstGeom>
                  <a:noFill/>
                  <a:ln>
                    <a:noFill/>
                  </a:ln>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D2" w:rsidRDefault="009F39D2" w:rsidP="002B554F">
      <w:r>
        <w:separator/>
      </w:r>
    </w:p>
  </w:footnote>
  <w:footnote w:type="continuationSeparator" w:id="0">
    <w:p w:rsidR="009F39D2" w:rsidRDefault="009F39D2" w:rsidP="002B554F">
      <w:r>
        <w:continuationSeparator/>
      </w:r>
    </w:p>
  </w:footnote>
  <w:footnote w:id="1">
    <w:p w:rsidR="004F3CF7" w:rsidRDefault="004F3CF7" w:rsidP="004F3CF7">
      <w:pPr>
        <w:pStyle w:val="Notedebasdepage"/>
      </w:pPr>
      <w:r>
        <w:rPr>
          <w:rStyle w:val="Appelnotedebasdep"/>
        </w:rPr>
        <w:footnoteRef/>
      </w:r>
      <w:r>
        <w:t xml:space="preserve"> La loi sapin est également venue ajouter certaines précisions (</w:t>
      </w:r>
      <w:proofErr w:type="spellStart"/>
      <w:r>
        <w:t>cf</w:t>
      </w:r>
      <w:proofErr w:type="spellEnd"/>
      <w:r>
        <w:t xml:space="preserve"> articles 38 et suivants)</w:t>
      </w:r>
    </w:p>
  </w:footnote>
  <w:footnote w:id="2">
    <w:p w:rsidR="00A05982" w:rsidRPr="00A05982" w:rsidRDefault="00A05982">
      <w:pPr>
        <w:pStyle w:val="Notedebasdepage"/>
        <w:rPr>
          <w:rFonts w:asciiTheme="minorHAnsi" w:hAnsiTheme="minorHAnsi"/>
        </w:rPr>
      </w:pPr>
      <w:r w:rsidRPr="00A05982">
        <w:rPr>
          <w:rStyle w:val="Appelnotedebasdep"/>
          <w:rFonts w:asciiTheme="minorHAnsi" w:hAnsiTheme="minorHAnsi"/>
        </w:rPr>
        <w:footnoteRef/>
      </w:r>
      <w:r w:rsidRPr="00A05982">
        <w:rPr>
          <w:rFonts w:asciiTheme="minorHAnsi" w:hAnsiTheme="minorHAnsi"/>
        </w:rPr>
        <w:t xml:space="preserve"> Source : site Internet de la direction des Affaires Juridiques du Ministère de l’Economie et des Finances</w:t>
      </w:r>
    </w:p>
    <w:p w:rsidR="00A05982" w:rsidRDefault="00B227C8">
      <w:pPr>
        <w:pStyle w:val="Notedebasdepage"/>
      </w:pPr>
      <w:hyperlink r:id="rId1" w:history="1">
        <w:r w:rsidR="00A05982" w:rsidRPr="00A05982">
          <w:rPr>
            <w:rStyle w:val="Lienhypertexte"/>
            <w:rFonts w:asciiTheme="minorHAnsi" w:hAnsiTheme="minorHAnsi"/>
          </w:rPr>
          <w:t>http://www.economie.gouv.fr/daj</w:t>
        </w:r>
      </w:hyperlink>
      <w:r w:rsidR="00A05982">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201"/>
    <w:multiLevelType w:val="hybridMultilevel"/>
    <w:tmpl w:val="AE28C2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96663D"/>
    <w:multiLevelType w:val="hybridMultilevel"/>
    <w:tmpl w:val="AEE88E2E"/>
    <w:lvl w:ilvl="0" w:tplc="292A85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204A52"/>
    <w:multiLevelType w:val="hybridMultilevel"/>
    <w:tmpl w:val="F51CC224"/>
    <w:lvl w:ilvl="0" w:tplc="0000000C">
      <w:numFmt w:val="bullet"/>
      <w:lvlText w:val="-"/>
      <w:lvlJc w:val="left"/>
      <w:pPr>
        <w:ind w:left="720" w:hanging="360"/>
      </w:pPr>
      <w:rPr>
        <w:rFonts w:ascii="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F57622"/>
    <w:multiLevelType w:val="hybridMultilevel"/>
    <w:tmpl w:val="FE7A11B6"/>
    <w:lvl w:ilvl="0" w:tplc="292A85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C95FA1"/>
    <w:multiLevelType w:val="hybridMultilevel"/>
    <w:tmpl w:val="CC9E5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D40ACC"/>
    <w:multiLevelType w:val="hybridMultilevel"/>
    <w:tmpl w:val="F59263A0"/>
    <w:lvl w:ilvl="0" w:tplc="72A8FFFC">
      <w:start w:val="2"/>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D131E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CF7B32"/>
    <w:multiLevelType w:val="hybridMultilevel"/>
    <w:tmpl w:val="9B2C5D6E"/>
    <w:lvl w:ilvl="0" w:tplc="B50E47CC">
      <w:numFmt w:val="bullet"/>
      <w:lvlText w:val="-"/>
      <w:lvlJc w:val="left"/>
      <w:pPr>
        <w:ind w:left="720" w:hanging="360"/>
      </w:pPr>
      <w:rPr>
        <w:rFonts w:ascii="Calibri" w:eastAsiaTheme="minorHAnsi" w:hAnsi="Calibri" w:cstheme="minorBidi" w:hint="default"/>
      </w:rPr>
    </w:lvl>
    <w:lvl w:ilvl="1" w:tplc="74F0858A">
      <w:numFmt w:val="bullet"/>
      <w:lvlText w:val="•"/>
      <w:lvlJc w:val="left"/>
      <w:pPr>
        <w:ind w:left="1785" w:hanging="705"/>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7F34CF"/>
    <w:multiLevelType w:val="hybridMultilevel"/>
    <w:tmpl w:val="E06C3A28"/>
    <w:lvl w:ilvl="0" w:tplc="F094037C">
      <w:start w:val="2013"/>
      <w:numFmt w:val="bullet"/>
      <w:lvlText w:val="-"/>
      <w:lvlJc w:val="left"/>
      <w:pPr>
        <w:ind w:left="360" w:hanging="360"/>
      </w:pPr>
      <w:rPr>
        <w:rFonts w:ascii="TimesNewRomanPSMT" w:eastAsiaTheme="minorHAnsi" w:hAnsi="TimesNewRomanPSMT" w:cs="TimesNewRomanPSMT"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F611A53"/>
    <w:multiLevelType w:val="hybridMultilevel"/>
    <w:tmpl w:val="85545D9E"/>
    <w:lvl w:ilvl="0" w:tplc="D31A48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1B1E1C"/>
    <w:multiLevelType w:val="hybridMultilevel"/>
    <w:tmpl w:val="E0245956"/>
    <w:lvl w:ilvl="0" w:tplc="115E9058">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A544D5"/>
    <w:multiLevelType w:val="hybridMultilevel"/>
    <w:tmpl w:val="E7D2E894"/>
    <w:lvl w:ilvl="0" w:tplc="0000000C">
      <w:numFmt w:val="bullet"/>
      <w:lvlText w:val="-"/>
      <w:lvlJc w:val="left"/>
      <w:pPr>
        <w:ind w:left="720" w:hanging="360"/>
      </w:pPr>
      <w:rPr>
        <w:rFonts w:ascii="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634C6E"/>
    <w:multiLevelType w:val="hybridMultilevel"/>
    <w:tmpl w:val="D9C25FF6"/>
    <w:lvl w:ilvl="0" w:tplc="292A85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A3205D8"/>
    <w:multiLevelType w:val="hybridMultilevel"/>
    <w:tmpl w:val="CC86B5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B080994"/>
    <w:multiLevelType w:val="hybridMultilevel"/>
    <w:tmpl w:val="3190E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AB5204"/>
    <w:multiLevelType w:val="hybridMultilevel"/>
    <w:tmpl w:val="4E3A9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D30210"/>
    <w:multiLevelType w:val="hybridMultilevel"/>
    <w:tmpl w:val="BB729F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F2D0E6A"/>
    <w:multiLevelType w:val="multilevel"/>
    <w:tmpl w:val="EF8EB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5E54C0D"/>
    <w:multiLevelType w:val="hybridMultilevel"/>
    <w:tmpl w:val="A2D42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3745C0"/>
    <w:multiLevelType w:val="hybridMultilevel"/>
    <w:tmpl w:val="09C63436"/>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BE15B5"/>
    <w:multiLevelType w:val="hybridMultilevel"/>
    <w:tmpl w:val="3A982B02"/>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EF877DE"/>
    <w:multiLevelType w:val="multilevel"/>
    <w:tmpl w:val="18F4B4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02B6D2C"/>
    <w:multiLevelType w:val="hybridMultilevel"/>
    <w:tmpl w:val="1DC09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1FC20CC"/>
    <w:multiLevelType w:val="hybridMultilevel"/>
    <w:tmpl w:val="E31A1A68"/>
    <w:lvl w:ilvl="0" w:tplc="3A18F7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9C104F"/>
    <w:multiLevelType w:val="hybridMultilevel"/>
    <w:tmpl w:val="A4F49454"/>
    <w:lvl w:ilvl="0" w:tplc="C046CF64">
      <w:start w:val="1"/>
      <w:numFmt w:val="bullet"/>
      <w:lvlText w:val=""/>
      <w:lvlJc w:val="left"/>
      <w:pPr>
        <w:ind w:left="720" w:hanging="360"/>
      </w:pPr>
      <w:rPr>
        <w:rFonts w:ascii="Wingdings 3" w:hAnsi="Wingdings 3" w:hint="default"/>
      </w:rPr>
    </w:lvl>
    <w:lvl w:ilvl="1" w:tplc="B9A68924">
      <w:start w:val="1"/>
      <w:numFmt w:val="bullet"/>
      <w:lvlText w:val=""/>
      <w:lvlJc w:val="left"/>
      <w:pPr>
        <w:ind w:left="1440" w:hanging="360"/>
      </w:pPr>
      <w:rPr>
        <w:rFonts w:ascii="Wingdings 3" w:hAnsi="Wingdings 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E47ED0"/>
    <w:multiLevelType w:val="hybridMultilevel"/>
    <w:tmpl w:val="367ED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A1411D8"/>
    <w:multiLevelType w:val="hybridMultilevel"/>
    <w:tmpl w:val="6F2094C0"/>
    <w:lvl w:ilvl="0" w:tplc="F094037C">
      <w:start w:val="2013"/>
      <w:numFmt w:val="bullet"/>
      <w:lvlText w:val="-"/>
      <w:lvlJc w:val="left"/>
      <w:pPr>
        <w:ind w:left="360" w:hanging="360"/>
      </w:pPr>
      <w:rPr>
        <w:rFonts w:ascii="TimesNewRomanPSMT" w:eastAsiaTheme="minorHAnsi" w:hAnsi="TimesNewRomanPSMT" w:cs="TimesNewRomanPSM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C0947C5"/>
    <w:multiLevelType w:val="hybridMultilevel"/>
    <w:tmpl w:val="0EE0E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2"/>
  </w:num>
  <w:num w:numId="4">
    <w:abstractNumId w:val="2"/>
  </w:num>
  <w:num w:numId="5">
    <w:abstractNumId w:val="19"/>
  </w:num>
  <w:num w:numId="6">
    <w:abstractNumId w:val="20"/>
  </w:num>
  <w:num w:numId="7">
    <w:abstractNumId w:val="25"/>
  </w:num>
  <w:num w:numId="8">
    <w:abstractNumId w:val="17"/>
  </w:num>
  <w:num w:numId="9">
    <w:abstractNumId w:val="11"/>
  </w:num>
  <w:num w:numId="10">
    <w:abstractNumId w:val="27"/>
  </w:num>
  <w:num w:numId="11">
    <w:abstractNumId w:val="21"/>
  </w:num>
  <w:num w:numId="12">
    <w:abstractNumId w:val="3"/>
  </w:num>
  <w:num w:numId="13">
    <w:abstractNumId w:val="29"/>
  </w:num>
  <w:num w:numId="14">
    <w:abstractNumId w:val="6"/>
  </w:num>
  <w:num w:numId="15">
    <w:abstractNumId w:val="28"/>
  </w:num>
  <w:num w:numId="16">
    <w:abstractNumId w:val="10"/>
  </w:num>
  <w:num w:numId="17">
    <w:abstractNumId w:val="16"/>
  </w:num>
  <w:num w:numId="18">
    <w:abstractNumId w:val="12"/>
  </w:num>
  <w:num w:numId="19">
    <w:abstractNumId w:val="23"/>
  </w:num>
  <w:num w:numId="20">
    <w:abstractNumId w:val="7"/>
  </w:num>
  <w:num w:numId="21">
    <w:abstractNumId w:val="15"/>
  </w:num>
  <w:num w:numId="22">
    <w:abstractNumId w:val="24"/>
  </w:num>
  <w:num w:numId="23">
    <w:abstractNumId w:val="26"/>
  </w:num>
  <w:num w:numId="24">
    <w:abstractNumId w:val="14"/>
  </w:num>
  <w:num w:numId="25">
    <w:abstractNumId w:val="1"/>
  </w:num>
  <w:num w:numId="26">
    <w:abstractNumId w:val="5"/>
  </w:num>
  <w:num w:numId="27">
    <w:abstractNumId w:val="9"/>
  </w:num>
  <w:num w:numId="28">
    <w:abstractNumId w:val="13"/>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FF"/>
    <w:rsid w:val="00011AF9"/>
    <w:rsid w:val="00024589"/>
    <w:rsid w:val="000256C0"/>
    <w:rsid w:val="000268BD"/>
    <w:rsid w:val="000326C4"/>
    <w:rsid w:val="00040AEB"/>
    <w:rsid w:val="000437F8"/>
    <w:rsid w:val="000524B6"/>
    <w:rsid w:val="00060EEC"/>
    <w:rsid w:val="00075D3A"/>
    <w:rsid w:val="00086CD1"/>
    <w:rsid w:val="00095F52"/>
    <w:rsid w:val="000A1F5E"/>
    <w:rsid w:val="000A346A"/>
    <w:rsid w:val="000A40E6"/>
    <w:rsid w:val="000B273E"/>
    <w:rsid w:val="000B4D88"/>
    <w:rsid w:val="000C35FD"/>
    <w:rsid w:val="000C79F1"/>
    <w:rsid w:val="000E1373"/>
    <w:rsid w:val="00101FD8"/>
    <w:rsid w:val="00113E8B"/>
    <w:rsid w:val="001164CB"/>
    <w:rsid w:val="00121B85"/>
    <w:rsid w:val="001248C0"/>
    <w:rsid w:val="0012564B"/>
    <w:rsid w:val="001336BF"/>
    <w:rsid w:val="0014091A"/>
    <w:rsid w:val="00140F0B"/>
    <w:rsid w:val="001443B3"/>
    <w:rsid w:val="00151372"/>
    <w:rsid w:val="00152821"/>
    <w:rsid w:val="00157D34"/>
    <w:rsid w:val="00163FC8"/>
    <w:rsid w:val="001663E8"/>
    <w:rsid w:val="00170F90"/>
    <w:rsid w:val="00172BA1"/>
    <w:rsid w:val="00182BE8"/>
    <w:rsid w:val="00184C39"/>
    <w:rsid w:val="00187685"/>
    <w:rsid w:val="00197E3B"/>
    <w:rsid w:val="001A3E0D"/>
    <w:rsid w:val="001B0153"/>
    <w:rsid w:val="001C2D3E"/>
    <w:rsid w:val="001E280C"/>
    <w:rsid w:val="001F3E75"/>
    <w:rsid w:val="00203E4F"/>
    <w:rsid w:val="00204580"/>
    <w:rsid w:val="00212465"/>
    <w:rsid w:val="00221390"/>
    <w:rsid w:val="0022420F"/>
    <w:rsid w:val="002352CD"/>
    <w:rsid w:val="002370CD"/>
    <w:rsid w:val="00241471"/>
    <w:rsid w:val="002449B7"/>
    <w:rsid w:val="00245D59"/>
    <w:rsid w:val="002503CC"/>
    <w:rsid w:val="00250C72"/>
    <w:rsid w:val="00254D3E"/>
    <w:rsid w:val="002557E6"/>
    <w:rsid w:val="002561F0"/>
    <w:rsid w:val="00260002"/>
    <w:rsid w:val="002674A9"/>
    <w:rsid w:val="00270C6A"/>
    <w:rsid w:val="00272260"/>
    <w:rsid w:val="00275E70"/>
    <w:rsid w:val="0027620A"/>
    <w:rsid w:val="00276317"/>
    <w:rsid w:val="00276E3D"/>
    <w:rsid w:val="002B53BC"/>
    <w:rsid w:val="002B554F"/>
    <w:rsid w:val="002C2899"/>
    <w:rsid w:val="002C6FE0"/>
    <w:rsid w:val="002D5BC0"/>
    <w:rsid w:val="002E03F7"/>
    <w:rsid w:val="002E06B2"/>
    <w:rsid w:val="00304EBD"/>
    <w:rsid w:val="0032143C"/>
    <w:rsid w:val="0034373C"/>
    <w:rsid w:val="003518D8"/>
    <w:rsid w:val="003567D2"/>
    <w:rsid w:val="003607DC"/>
    <w:rsid w:val="003650F3"/>
    <w:rsid w:val="00386E8D"/>
    <w:rsid w:val="00387256"/>
    <w:rsid w:val="00387AA6"/>
    <w:rsid w:val="00392608"/>
    <w:rsid w:val="0039277E"/>
    <w:rsid w:val="0039352C"/>
    <w:rsid w:val="003945E5"/>
    <w:rsid w:val="003A1235"/>
    <w:rsid w:val="003A1C57"/>
    <w:rsid w:val="003B0713"/>
    <w:rsid w:val="003C7417"/>
    <w:rsid w:val="003D0A62"/>
    <w:rsid w:val="003E213E"/>
    <w:rsid w:val="003E33AB"/>
    <w:rsid w:val="003F772E"/>
    <w:rsid w:val="00403A0A"/>
    <w:rsid w:val="0040678B"/>
    <w:rsid w:val="00411A17"/>
    <w:rsid w:val="00416B4B"/>
    <w:rsid w:val="004360F1"/>
    <w:rsid w:val="00456C15"/>
    <w:rsid w:val="00486A42"/>
    <w:rsid w:val="004925C5"/>
    <w:rsid w:val="004A4E43"/>
    <w:rsid w:val="004B0243"/>
    <w:rsid w:val="004C081B"/>
    <w:rsid w:val="004C5409"/>
    <w:rsid w:val="004E0C30"/>
    <w:rsid w:val="004F203A"/>
    <w:rsid w:val="004F2430"/>
    <w:rsid w:val="004F3976"/>
    <w:rsid w:val="004F3CF7"/>
    <w:rsid w:val="0050514E"/>
    <w:rsid w:val="00506969"/>
    <w:rsid w:val="00511113"/>
    <w:rsid w:val="00513441"/>
    <w:rsid w:val="00516727"/>
    <w:rsid w:val="005225EF"/>
    <w:rsid w:val="0052701A"/>
    <w:rsid w:val="00536561"/>
    <w:rsid w:val="00544617"/>
    <w:rsid w:val="0054757A"/>
    <w:rsid w:val="00547696"/>
    <w:rsid w:val="00563E5C"/>
    <w:rsid w:val="00567FAF"/>
    <w:rsid w:val="005700E9"/>
    <w:rsid w:val="00591059"/>
    <w:rsid w:val="005929EC"/>
    <w:rsid w:val="00592F2F"/>
    <w:rsid w:val="0059318D"/>
    <w:rsid w:val="005948A7"/>
    <w:rsid w:val="00596A85"/>
    <w:rsid w:val="00597B3E"/>
    <w:rsid w:val="00597DA0"/>
    <w:rsid w:val="005A029B"/>
    <w:rsid w:val="005A0D03"/>
    <w:rsid w:val="005A40EC"/>
    <w:rsid w:val="005A59FB"/>
    <w:rsid w:val="005B05F7"/>
    <w:rsid w:val="005B3897"/>
    <w:rsid w:val="005B760D"/>
    <w:rsid w:val="005B7BF7"/>
    <w:rsid w:val="005E3876"/>
    <w:rsid w:val="005E4BAF"/>
    <w:rsid w:val="005E5340"/>
    <w:rsid w:val="005F1A04"/>
    <w:rsid w:val="00600769"/>
    <w:rsid w:val="0060661A"/>
    <w:rsid w:val="006271FD"/>
    <w:rsid w:val="006375C3"/>
    <w:rsid w:val="006401F6"/>
    <w:rsid w:val="00645961"/>
    <w:rsid w:val="006467F2"/>
    <w:rsid w:val="006472A3"/>
    <w:rsid w:val="00660D1E"/>
    <w:rsid w:val="00667D1D"/>
    <w:rsid w:val="006702E8"/>
    <w:rsid w:val="00671E03"/>
    <w:rsid w:val="00677F5F"/>
    <w:rsid w:val="00680266"/>
    <w:rsid w:val="00684F73"/>
    <w:rsid w:val="00692EF2"/>
    <w:rsid w:val="00696319"/>
    <w:rsid w:val="0069769B"/>
    <w:rsid w:val="006A1594"/>
    <w:rsid w:val="006B0335"/>
    <w:rsid w:val="006D22A8"/>
    <w:rsid w:val="006E2208"/>
    <w:rsid w:val="006F431C"/>
    <w:rsid w:val="0071647C"/>
    <w:rsid w:val="0071679B"/>
    <w:rsid w:val="00716E87"/>
    <w:rsid w:val="00725F15"/>
    <w:rsid w:val="007316CD"/>
    <w:rsid w:val="00731877"/>
    <w:rsid w:val="0073256B"/>
    <w:rsid w:val="00733A36"/>
    <w:rsid w:val="007371BD"/>
    <w:rsid w:val="00744AA7"/>
    <w:rsid w:val="0074692C"/>
    <w:rsid w:val="00754C93"/>
    <w:rsid w:val="00756291"/>
    <w:rsid w:val="00770248"/>
    <w:rsid w:val="00775C01"/>
    <w:rsid w:val="0078183E"/>
    <w:rsid w:val="007827DE"/>
    <w:rsid w:val="00786A63"/>
    <w:rsid w:val="007A794C"/>
    <w:rsid w:val="007C4008"/>
    <w:rsid w:val="007C6237"/>
    <w:rsid w:val="007C63F0"/>
    <w:rsid w:val="007D19B1"/>
    <w:rsid w:val="007D3CCF"/>
    <w:rsid w:val="007D3FFC"/>
    <w:rsid w:val="007D769C"/>
    <w:rsid w:val="007E0B36"/>
    <w:rsid w:val="007E4162"/>
    <w:rsid w:val="007E41BB"/>
    <w:rsid w:val="007E77FD"/>
    <w:rsid w:val="007F2566"/>
    <w:rsid w:val="007F646D"/>
    <w:rsid w:val="007F74CB"/>
    <w:rsid w:val="00806B1B"/>
    <w:rsid w:val="00806C9D"/>
    <w:rsid w:val="0081412C"/>
    <w:rsid w:val="0082643E"/>
    <w:rsid w:val="00826B29"/>
    <w:rsid w:val="00831829"/>
    <w:rsid w:val="00837CE1"/>
    <w:rsid w:val="008534C8"/>
    <w:rsid w:val="008574CB"/>
    <w:rsid w:val="008638C5"/>
    <w:rsid w:val="00863A2D"/>
    <w:rsid w:val="0086629E"/>
    <w:rsid w:val="00866B62"/>
    <w:rsid w:val="00866DD9"/>
    <w:rsid w:val="00882A1E"/>
    <w:rsid w:val="0088626A"/>
    <w:rsid w:val="00893FCE"/>
    <w:rsid w:val="0089650D"/>
    <w:rsid w:val="008A4F1A"/>
    <w:rsid w:val="008C3D67"/>
    <w:rsid w:val="008C49CE"/>
    <w:rsid w:val="008D07DE"/>
    <w:rsid w:val="008D080A"/>
    <w:rsid w:val="008D5073"/>
    <w:rsid w:val="008F0391"/>
    <w:rsid w:val="008F3468"/>
    <w:rsid w:val="00915EA7"/>
    <w:rsid w:val="00924183"/>
    <w:rsid w:val="00931641"/>
    <w:rsid w:val="00935461"/>
    <w:rsid w:val="009365FF"/>
    <w:rsid w:val="00936B90"/>
    <w:rsid w:val="009402DA"/>
    <w:rsid w:val="009455D3"/>
    <w:rsid w:val="00955E4E"/>
    <w:rsid w:val="00990A11"/>
    <w:rsid w:val="009A0175"/>
    <w:rsid w:val="009A157F"/>
    <w:rsid w:val="009A6894"/>
    <w:rsid w:val="009C6400"/>
    <w:rsid w:val="009D0318"/>
    <w:rsid w:val="009D057D"/>
    <w:rsid w:val="009D1D7C"/>
    <w:rsid w:val="009D7FC5"/>
    <w:rsid w:val="009E4A54"/>
    <w:rsid w:val="009E7B9D"/>
    <w:rsid w:val="009F0185"/>
    <w:rsid w:val="009F39D2"/>
    <w:rsid w:val="009F613E"/>
    <w:rsid w:val="00A05982"/>
    <w:rsid w:val="00A07151"/>
    <w:rsid w:val="00A12C4D"/>
    <w:rsid w:val="00A12D14"/>
    <w:rsid w:val="00A27C46"/>
    <w:rsid w:val="00A40858"/>
    <w:rsid w:val="00A4714D"/>
    <w:rsid w:val="00A50BBF"/>
    <w:rsid w:val="00A70A64"/>
    <w:rsid w:val="00A720F7"/>
    <w:rsid w:val="00A77C4A"/>
    <w:rsid w:val="00A811BB"/>
    <w:rsid w:val="00A84E80"/>
    <w:rsid w:val="00A86A83"/>
    <w:rsid w:val="00A86ECC"/>
    <w:rsid w:val="00A909A8"/>
    <w:rsid w:val="00A93202"/>
    <w:rsid w:val="00A955E5"/>
    <w:rsid w:val="00AA0599"/>
    <w:rsid w:val="00AA4352"/>
    <w:rsid w:val="00AA4893"/>
    <w:rsid w:val="00AB0F24"/>
    <w:rsid w:val="00AC2ED9"/>
    <w:rsid w:val="00AC4730"/>
    <w:rsid w:val="00AD6270"/>
    <w:rsid w:val="00AD6E5D"/>
    <w:rsid w:val="00AF37BB"/>
    <w:rsid w:val="00AF418D"/>
    <w:rsid w:val="00B00967"/>
    <w:rsid w:val="00B00DE6"/>
    <w:rsid w:val="00B03A79"/>
    <w:rsid w:val="00B058F9"/>
    <w:rsid w:val="00B15E78"/>
    <w:rsid w:val="00B227C8"/>
    <w:rsid w:val="00B24619"/>
    <w:rsid w:val="00B3057C"/>
    <w:rsid w:val="00B401CB"/>
    <w:rsid w:val="00B5099F"/>
    <w:rsid w:val="00B50E67"/>
    <w:rsid w:val="00B6069A"/>
    <w:rsid w:val="00B64C4E"/>
    <w:rsid w:val="00B6685F"/>
    <w:rsid w:val="00B7167C"/>
    <w:rsid w:val="00B74F74"/>
    <w:rsid w:val="00B754E5"/>
    <w:rsid w:val="00B84443"/>
    <w:rsid w:val="00BB0DD0"/>
    <w:rsid w:val="00BC47D1"/>
    <w:rsid w:val="00BC6263"/>
    <w:rsid w:val="00BD200B"/>
    <w:rsid w:val="00BE3B4C"/>
    <w:rsid w:val="00BF2D9F"/>
    <w:rsid w:val="00BF6CFD"/>
    <w:rsid w:val="00BF71C9"/>
    <w:rsid w:val="00C02A1B"/>
    <w:rsid w:val="00C032AC"/>
    <w:rsid w:val="00C22E5A"/>
    <w:rsid w:val="00C2310A"/>
    <w:rsid w:val="00C2468D"/>
    <w:rsid w:val="00C2553C"/>
    <w:rsid w:val="00C26957"/>
    <w:rsid w:val="00C30FEB"/>
    <w:rsid w:val="00C469DE"/>
    <w:rsid w:val="00C522B7"/>
    <w:rsid w:val="00C53894"/>
    <w:rsid w:val="00C61DB3"/>
    <w:rsid w:val="00C64ED3"/>
    <w:rsid w:val="00C94F09"/>
    <w:rsid w:val="00CA32BA"/>
    <w:rsid w:val="00CC62FF"/>
    <w:rsid w:val="00CD3AEE"/>
    <w:rsid w:val="00CD6BD2"/>
    <w:rsid w:val="00CF36DB"/>
    <w:rsid w:val="00CF5D63"/>
    <w:rsid w:val="00D001E7"/>
    <w:rsid w:val="00D02B8D"/>
    <w:rsid w:val="00D1029F"/>
    <w:rsid w:val="00D1257B"/>
    <w:rsid w:val="00D12B85"/>
    <w:rsid w:val="00D12FE0"/>
    <w:rsid w:val="00D16187"/>
    <w:rsid w:val="00D2102C"/>
    <w:rsid w:val="00D31089"/>
    <w:rsid w:val="00D310E8"/>
    <w:rsid w:val="00D55AFC"/>
    <w:rsid w:val="00D60149"/>
    <w:rsid w:val="00D64E52"/>
    <w:rsid w:val="00D66BDF"/>
    <w:rsid w:val="00D72A2A"/>
    <w:rsid w:val="00D75AFF"/>
    <w:rsid w:val="00D77001"/>
    <w:rsid w:val="00D77AB8"/>
    <w:rsid w:val="00D871AE"/>
    <w:rsid w:val="00D903D2"/>
    <w:rsid w:val="00D911C5"/>
    <w:rsid w:val="00D91F39"/>
    <w:rsid w:val="00D96A82"/>
    <w:rsid w:val="00DA0930"/>
    <w:rsid w:val="00DB2E54"/>
    <w:rsid w:val="00DB6BDF"/>
    <w:rsid w:val="00DC0DA6"/>
    <w:rsid w:val="00DC16E3"/>
    <w:rsid w:val="00DC5337"/>
    <w:rsid w:val="00DD522E"/>
    <w:rsid w:val="00DE5B0B"/>
    <w:rsid w:val="00DF1859"/>
    <w:rsid w:val="00DF70E7"/>
    <w:rsid w:val="00E03864"/>
    <w:rsid w:val="00E076EF"/>
    <w:rsid w:val="00E1275C"/>
    <w:rsid w:val="00E35670"/>
    <w:rsid w:val="00E36861"/>
    <w:rsid w:val="00E4547B"/>
    <w:rsid w:val="00E51B8B"/>
    <w:rsid w:val="00E5655B"/>
    <w:rsid w:val="00E578CD"/>
    <w:rsid w:val="00E94881"/>
    <w:rsid w:val="00EA04CC"/>
    <w:rsid w:val="00EA670C"/>
    <w:rsid w:val="00EB14D6"/>
    <w:rsid w:val="00EC4052"/>
    <w:rsid w:val="00EE4B42"/>
    <w:rsid w:val="00EE73D9"/>
    <w:rsid w:val="00EF58B6"/>
    <w:rsid w:val="00F0397B"/>
    <w:rsid w:val="00F21805"/>
    <w:rsid w:val="00F25BA1"/>
    <w:rsid w:val="00F512B1"/>
    <w:rsid w:val="00F546FE"/>
    <w:rsid w:val="00F55E5D"/>
    <w:rsid w:val="00F63710"/>
    <w:rsid w:val="00F71FC1"/>
    <w:rsid w:val="00F73238"/>
    <w:rsid w:val="00F74248"/>
    <w:rsid w:val="00F8006D"/>
    <w:rsid w:val="00F86EBD"/>
    <w:rsid w:val="00F93848"/>
    <w:rsid w:val="00FB07C5"/>
    <w:rsid w:val="00FC0C47"/>
    <w:rsid w:val="00FC2D38"/>
    <w:rsid w:val="00FC77B5"/>
    <w:rsid w:val="00FD74EB"/>
    <w:rsid w:val="00FE0C1F"/>
    <w:rsid w:val="00FE7110"/>
    <w:rsid w:val="00FF28B1"/>
    <w:rsid w:val="00FF2A8E"/>
    <w:rsid w:val="00FF7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F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62FF"/>
    <w:rPr>
      <w:rFonts w:ascii="Tahoma" w:hAnsi="Tahoma" w:cs="Tahoma"/>
      <w:sz w:val="16"/>
      <w:szCs w:val="16"/>
    </w:rPr>
  </w:style>
  <w:style w:type="character" w:customStyle="1" w:styleId="TextedebullesCar">
    <w:name w:val="Texte de bulles Car"/>
    <w:basedOn w:val="Policepardfaut"/>
    <w:link w:val="Textedebulles"/>
    <w:uiPriority w:val="99"/>
    <w:semiHidden/>
    <w:rsid w:val="00CC62FF"/>
    <w:rPr>
      <w:rFonts w:ascii="Tahoma" w:eastAsia="Times New Roman" w:hAnsi="Tahoma" w:cs="Tahoma"/>
      <w:sz w:val="16"/>
      <w:szCs w:val="16"/>
      <w:lang w:eastAsia="fr-FR"/>
    </w:rPr>
  </w:style>
  <w:style w:type="paragraph" w:styleId="En-tte">
    <w:name w:val="header"/>
    <w:basedOn w:val="Normal"/>
    <w:link w:val="En-tteCar"/>
    <w:rsid w:val="002370CD"/>
    <w:pPr>
      <w:tabs>
        <w:tab w:val="center" w:pos="4536"/>
        <w:tab w:val="right" w:pos="9072"/>
      </w:tabs>
    </w:pPr>
    <w:rPr>
      <w:rFonts w:ascii="Arial" w:hAnsi="Arial"/>
      <w:sz w:val="18"/>
    </w:rPr>
  </w:style>
  <w:style w:type="character" w:customStyle="1" w:styleId="En-tteCar">
    <w:name w:val="En-tête Car"/>
    <w:basedOn w:val="Policepardfaut"/>
    <w:link w:val="En-tte"/>
    <w:rsid w:val="002370CD"/>
    <w:rPr>
      <w:rFonts w:ascii="Arial" w:eastAsia="Times New Roman" w:hAnsi="Arial" w:cs="Times New Roman"/>
      <w:sz w:val="18"/>
      <w:szCs w:val="20"/>
      <w:lang w:eastAsia="fr-FR"/>
    </w:rPr>
  </w:style>
  <w:style w:type="paragraph" w:styleId="Paragraphedeliste">
    <w:name w:val="List Paragraph"/>
    <w:basedOn w:val="Normal"/>
    <w:link w:val="ParagraphedelisteCar"/>
    <w:uiPriority w:val="34"/>
    <w:qFormat/>
    <w:rsid w:val="009D1D7C"/>
    <w:pPr>
      <w:ind w:left="720"/>
      <w:contextualSpacing/>
    </w:pPr>
  </w:style>
  <w:style w:type="paragraph" w:styleId="Pieddepage">
    <w:name w:val="footer"/>
    <w:basedOn w:val="Normal"/>
    <w:link w:val="PieddepageCar"/>
    <w:uiPriority w:val="99"/>
    <w:unhideWhenUsed/>
    <w:rsid w:val="002B554F"/>
    <w:pPr>
      <w:tabs>
        <w:tab w:val="center" w:pos="4536"/>
        <w:tab w:val="right" w:pos="9072"/>
      </w:tabs>
    </w:pPr>
  </w:style>
  <w:style w:type="character" w:customStyle="1" w:styleId="PieddepageCar">
    <w:name w:val="Pied de page Car"/>
    <w:basedOn w:val="Policepardfaut"/>
    <w:link w:val="Pieddepage"/>
    <w:uiPriority w:val="99"/>
    <w:rsid w:val="002B554F"/>
    <w:rPr>
      <w:rFonts w:ascii="Times New Roman" w:eastAsia="Times New Roman" w:hAnsi="Times New Roman" w:cs="Times New Roman"/>
      <w:sz w:val="20"/>
      <w:szCs w:val="20"/>
      <w:lang w:eastAsia="fr-FR"/>
    </w:rPr>
  </w:style>
  <w:style w:type="character" w:styleId="Marquedecommentaire">
    <w:name w:val="annotation reference"/>
    <w:semiHidden/>
    <w:rsid w:val="00513441"/>
    <w:rPr>
      <w:sz w:val="16"/>
      <w:szCs w:val="16"/>
    </w:rPr>
  </w:style>
  <w:style w:type="paragraph" w:styleId="NormalWeb">
    <w:name w:val="Normal (Web)"/>
    <w:basedOn w:val="Normal"/>
    <w:uiPriority w:val="99"/>
    <w:semiHidden/>
    <w:unhideWhenUsed/>
    <w:rsid w:val="008C49CE"/>
    <w:pPr>
      <w:spacing w:before="100" w:beforeAutospacing="1" w:after="100" w:afterAutospacing="1"/>
    </w:pPr>
    <w:rPr>
      <w:rFonts w:eastAsiaTheme="minorEastAsia"/>
      <w:sz w:val="24"/>
      <w:szCs w:val="24"/>
    </w:rPr>
  </w:style>
  <w:style w:type="paragraph" w:styleId="Notedefin">
    <w:name w:val="endnote text"/>
    <w:basedOn w:val="Normal"/>
    <w:link w:val="NotedefinCar"/>
    <w:uiPriority w:val="99"/>
    <w:semiHidden/>
    <w:unhideWhenUsed/>
    <w:rsid w:val="00A05982"/>
  </w:style>
  <w:style w:type="character" w:customStyle="1" w:styleId="NotedefinCar">
    <w:name w:val="Note de fin Car"/>
    <w:basedOn w:val="Policepardfaut"/>
    <w:link w:val="Notedefin"/>
    <w:uiPriority w:val="99"/>
    <w:semiHidden/>
    <w:rsid w:val="00A05982"/>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A05982"/>
    <w:rPr>
      <w:vertAlign w:val="superscript"/>
    </w:rPr>
  </w:style>
  <w:style w:type="paragraph" w:styleId="Notedebasdepage">
    <w:name w:val="footnote text"/>
    <w:aliases w:val="Car,Note de bas de page Car1,Note de bas de page Car Car Car,Note de bas de page Car1 Car Car,Car Car Car Car,Note de bas de page1,Car Car Car1 Car Car,Note de bas de page Car Car,Note de bas de page Car Car Car Car Car,Footnote"/>
    <w:basedOn w:val="Normal"/>
    <w:link w:val="NotedebasdepageCar"/>
    <w:uiPriority w:val="99"/>
    <w:unhideWhenUsed/>
    <w:qFormat/>
    <w:rsid w:val="00A05982"/>
  </w:style>
  <w:style w:type="character" w:customStyle="1" w:styleId="NotedebasdepageCar">
    <w:name w:val="Note de bas de page Car"/>
    <w:aliases w:val="Car Car,Note de bas de page Car1 Car,Note de bas de page Car Car Car Car,Note de bas de page Car1 Car Car Car,Car Car Car Car Car,Note de bas de page1 Car,Car Car Car1 Car Car Car,Note de bas de page Car Car Car1,Footnote Car"/>
    <w:basedOn w:val="Policepardfaut"/>
    <w:link w:val="Notedebasdepage"/>
    <w:uiPriority w:val="99"/>
    <w:rsid w:val="00A05982"/>
    <w:rPr>
      <w:rFonts w:ascii="Times New Roman" w:eastAsia="Times New Roman" w:hAnsi="Times New Roman" w:cs="Times New Roman"/>
      <w:sz w:val="20"/>
      <w:szCs w:val="20"/>
      <w:lang w:eastAsia="fr-FR"/>
    </w:rPr>
  </w:style>
  <w:style w:type="character" w:styleId="Appelnotedebasdep">
    <w:name w:val="footnote reference"/>
    <w:aliases w:val="Footnote symbol,Footnote s,Times 10 Point,Exposant 3 Point,Exposant 3,Expos, Exposant 3 Point,Exposant 3 ,Appel note de bas de p,Texte Appel note de bas de p.,Footnote call,Footnote Reference Superscript,Footnote Refernece"/>
    <w:basedOn w:val="Policepardfaut"/>
    <w:unhideWhenUsed/>
    <w:qFormat/>
    <w:rsid w:val="00A05982"/>
    <w:rPr>
      <w:vertAlign w:val="superscript"/>
    </w:rPr>
  </w:style>
  <w:style w:type="character" w:styleId="Lienhypertexte">
    <w:name w:val="Hyperlink"/>
    <w:basedOn w:val="Policepardfaut"/>
    <w:uiPriority w:val="99"/>
    <w:unhideWhenUsed/>
    <w:rsid w:val="00A05982"/>
    <w:rPr>
      <w:color w:val="0000FF" w:themeColor="hyperlink"/>
      <w:u w:val="single"/>
    </w:rPr>
  </w:style>
  <w:style w:type="character" w:styleId="Lienhypertextesuivivisit">
    <w:name w:val="FollowedHyperlink"/>
    <w:basedOn w:val="Policepardfaut"/>
    <w:uiPriority w:val="99"/>
    <w:semiHidden/>
    <w:unhideWhenUsed/>
    <w:rsid w:val="00F8006D"/>
    <w:rPr>
      <w:color w:val="800080" w:themeColor="followedHyperlink"/>
      <w:u w:val="single"/>
    </w:rPr>
  </w:style>
  <w:style w:type="character" w:customStyle="1" w:styleId="ParagraphedelisteCar">
    <w:name w:val="Paragraphe de liste Car"/>
    <w:basedOn w:val="Policepardfaut"/>
    <w:link w:val="Paragraphedeliste"/>
    <w:uiPriority w:val="34"/>
    <w:rsid w:val="004F3CF7"/>
    <w:rPr>
      <w:rFonts w:ascii="Times New Roman" w:eastAsia="Times New Roman" w:hAnsi="Times New Roman" w:cs="Times New Roman"/>
      <w:sz w:val="20"/>
      <w:szCs w:val="20"/>
      <w:lang w:eastAsia="fr-FR"/>
    </w:rPr>
  </w:style>
  <w:style w:type="paragraph" w:customStyle="1" w:styleId="Normal1">
    <w:name w:val="Normal1"/>
    <w:basedOn w:val="Normal"/>
    <w:rsid w:val="004F3CF7"/>
    <w:pPr>
      <w:spacing w:before="100" w:beforeAutospacing="1" w:after="100" w:afterAutospacing="1"/>
    </w:pPr>
    <w:rPr>
      <w:sz w:val="24"/>
      <w:szCs w:val="24"/>
    </w:rPr>
  </w:style>
  <w:style w:type="paragraph" w:styleId="Commentaire">
    <w:name w:val="annotation text"/>
    <w:basedOn w:val="Normal"/>
    <w:link w:val="CommentaireCar"/>
    <w:uiPriority w:val="99"/>
    <w:semiHidden/>
    <w:unhideWhenUsed/>
    <w:rsid w:val="00A909A8"/>
  </w:style>
  <w:style w:type="character" w:customStyle="1" w:styleId="CommentaireCar">
    <w:name w:val="Commentaire Car"/>
    <w:basedOn w:val="Policepardfaut"/>
    <w:link w:val="Commentaire"/>
    <w:uiPriority w:val="99"/>
    <w:semiHidden/>
    <w:rsid w:val="00A909A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909A8"/>
    <w:rPr>
      <w:b/>
      <w:bCs/>
    </w:rPr>
  </w:style>
  <w:style w:type="character" w:customStyle="1" w:styleId="ObjetducommentaireCar">
    <w:name w:val="Objet du commentaire Car"/>
    <w:basedOn w:val="CommentaireCar"/>
    <w:link w:val="Objetducommentaire"/>
    <w:uiPriority w:val="99"/>
    <w:semiHidden/>
    <w:rsid w:val="00A909A8"/>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F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62FF"/>
    <w:rPr>
      <w:rFonts w:ascii="Tahoma" w:hAnsi="Tahoma" w:cs="Tahoma"/>
      <w:sz w:val="16"/>
      <w:szCs w:val="16"/>
    </w:rPr>
  </w:style>
  <w:style w:type="character" w:customStyle="1" w:styleId="TextedebullesCar">
    <w:name w:val="Texte de bulles Car"/>
    <w:basedOn w:val="Policepardfaut"/>
    <w:link w:val="Textedebulles"/>
    <w:uiPriority w:val="99"/>
    <w:semiHidden/>
    <w:rsid w:val="00CC62FF"/>
    <w:rPr>
      <w:rFonts w:ascii="Tahoma" w:eastAsia="Times New Roman" w:hAnsi="Tahoma" w:cs="Tahoma"/>
      <w:sz w:val="16"/>
      <w:szCs w:val="16"/>
      <w:lang w:eastAsia="fr-FR"/>
    </w:rPr>
  </w:style>
  <w:style w:type="paragraph" w:styleId="En-tte">
    <w:name w:val="header"/>
    <w:basedOn w:val="Normal"/>
    <w:link w:val="En-tteCar"/>
    <w:rsid w:val="002370CD"/>
    <w:pPr>
      <w:tabs>
        <w:tab w:val="center" w:pos="4536"/>
        <w:tab w:val="right" w:pos="9072"/>
      </w:tabs>
    </w:pPr>
    <w:rPr>
      <w:rFonts w:ascii="Arial" w:hAnsi="Arial"/>
      <w:sz w:val="18"/>
    </w:rPr>
  </w:style>
  <w:style w:type="character" w:customStyle="1" w:styleId="En-tteCar">
    <w:name w:val="En-tête Car"/>
    <w:basedOn w:val="Policepardfaut"/>
    <w:link w:val="En-tte"/>
    <w:rsid w:val="002370CD"/>
    <w:rPr>
      <w:rFonts w:ascii="Arial" w:eastAsia="Times New Roman" w:hAnsi="Arial" w:cs="Times New Roman"/>
      <w:sz w:val="18"/>
      <w:szCs w:val="20"/>
      <w:lang w:eastAsia="fr-FR"/>
    </w:rPr>
  </w:style>
  <w:style w:type="paragraph" w:styleId="Paragraphedeliste">
    <w:name w:val="List Paragraph"/>
    <w:basedOn w:val="Normal"/>
    <w:link w:val="ParagraphedelisteCar"/>
    <w:uiPriority w:val="34"/>
    <w:qFormat/>
    <w:rsid w:val="009D1D7C"/>
    <w:pPr>
      <w:ind w:left="720"/>
      <w:contextualSpacing/>
    </w:pPr>
  </w:style>
  <w:style w:type="paragraph" w:styleId="Pieddepage">
    <w:name w:val="footer"/>
    <w:basedOn w:val="Normal"/>
    <w:link w:val="PieddepageCar"/>
    <w:uiPriority w:val="99"/>
    <w:unhideWhenUsed/>
    <w:rsid w:val="002B554F"/>
    <w:pPr>
      <w:tabs>
        <w:tab w:val="center" w:pos="4536"/>
        <w:tab w:val="right" w:pos="9072"/>
      </w:tabs>
    </w:pPr>
  </w:style>
  <w:style w:type="character" w:customStyle="1" w:styleId="PieddepageCar">
    <w:name w:val="Pied de page Car"/>
    <w:basedOn w:val="Policepardfaut"/>
    <w:link w:val="Pieddepage"/>
    <w:uiPriority w:val="99"/>
    <w:rsid w:val="002B554F"/>
    <w:rPr>
      <w:rFonts w:ascii="Times New Roman" w:eastAsia="Times New Roman" w:hAnsi="Times New Roman" w:cs="Times New Roman"/>
      <w:sz w:val="20"/>
      <w:szCs w:val="20"/>
      <w:lang w:eastAsia="fr-FR"/>
    </w:rPr>
  </w:style>
  <w:style w:type="character" w:styleId="Marquedecommentaire">
    <w:name w:val="annotation reference"/>
    <w:semiHidden/>
    <w:rsid w:val="00513441"/>
    <w:rPr>
      <w:sz w:val="16"/>
      <w:szCs w:val="16"/>
    </w:rPr>
  </w:style>
  <w:style w:type="paragraph" w:styleId="NormalWeb">
    <w:name w:val="Normal (Web)"/>
    <w:basedOn w:val="Normal"/>
    <w:uiPriority w:val="99"/>
    <w:semiHidden/>
    <w:unhideWhenUsed/>
    <w:rsid w:val="008C49CE"/>
    <w:pPr>
      <w:spacing w:before="100" w:beforeAutospacing="1" w:after="100" w:afterAutospacing="1"/>
    </w:pPr>
    <w:rPr>
      <w:rFonts w:eastAsiaTheme="minorEastAsia"/>
      <w:sz w:val="24"/>
      <w:szCs w:val="24"/>
    </w:rPr>
  </w:style>
  <w:style w:type="paragraph" w:styleId="Notedefin">
    <w:name w:val="endnote text"/>
    <w:basedOn w:val="Normal"/>
    <w:link w:val="NotedefinCar"/>
    <w:uiPriority w:val="99"/>
    <w:semiHidden/>
    <w:unhideWhenUsed/>
    <w:rsid w:val="00A05982"/>
  </w:style>
  <w:style w:type="character" w:customStyle="1" w:styleId="NotedefinCar">
    <w:name w:val="Note de fin Car"/>
    <w:basedOn w:val="Policepardfaut"/>
    <w:link w:val="Notedefin"/>
    <w:uiPriority w:val="99"/>
    <w:semiHidden/>
    <w:rsid w:val="00A05982"/>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A05982"/>
    <w:rPr>
      <w:vertAlign w:val="superscript"/>
    </w:rPr>
  </w:style>
  <w:style w:type="paragraph" w:styleId="Notedebasdepage">
    <w:name w:val="footnote text"/>
    <w:aliases w:val="Car,Note de bas de page Car1,Note de bas de page Car Car Car,Note de bas de page Car1 Car Car,Car Car Car Car,Note de bas de page1,Car Car Car1 Car Car,Note de bas de page Car Car,Note de bas de page Car Car Car Car Car,Footnote"/>
    <w:basedOn w:val="Normal"/>
    <w:link w:val="NotedebasdepageCar"/>
    <w:uiPriority w:val="99"/>
    <w:unhideWhenUsed/>
    <w:qFormat/>
    <w:rsid w:val="00A05982"/>
  </w:style>
  <w:style w:type="character" w:customStyle="1" w:styleId="NotedebasdepageCar">
    <w:name w:val="Note de bas de page Car"/>
    <w:aliases w:val="Car Car,Note de bas de page Car1 Car,Note de bas de page Car Car Car Car,Note de bas de page Car1 Car Car Car,Car Car Car Car Car,Note de bas de page1 Car,Car Car Car1 Car Car Car,Note de bas de page Car Car Car1,Footnote Car"/>
    <w:basedOn w:val="Policepardfaut"/>
    <w:link w:val="Notedebasdepage"/>
    <w:uiPriority w:val="99"/>
    <w:rsid w:val="00A05982"/>
    <w:rPr>
      <w:rFonts w:ascii="Times New Roman" w:eastAsia="Times New Roman" w:hAnsi="Times New Roman" w:cs="Times New Roman"/>
      <w:sz w:val="20"/>
      <w:szCs w:val="20"/>
      <w:lang w:eastAsia="fr-FR"/>
    </w:rPr>
  </w:style>
  <w:style w:type="character" w:styleId="Appelnotedebasdep">
    <w:name w:val="footnote reference"/>
    <w:aliases w:val="Footnote symbol,Footnote s,Times 10 Point,Exposant 3 Point,Exposant 3,Expos, Exposant 3 Point,Exposant 3 ,Appel note de bas de p,Texte Appel note de bas de p.,Footnote call,Footnote Reference Superscript,Footnote Refernece"/>
    <w:basedOn w:val="Policepardfaut"/>
    <w:unhideWhenUsed/>
    <w:qFormat/>
    <w:rsid w:val="00A05982"/>
    <w:rPr>
      <w:vertAlign w:val="superscript"/>
    </w:rPr>
  </w:style>
  <w:style w:type="character" w:styleId="Lienhypertexte">
    <w:name w:val="Hyperlink"/>
    <w:basedOn w:val="Policepardfaut"/>
    <w:uiPriority w:val="99"/>
    <w:unhideWhenUsed/>
    <w:rsid w:val="00A05982"/>
    <w:rPr>
      <w:color w:val="0000FF" w:themeColor="hyperlink"/>
      <w:u w:val="single"/>
    </w:rPr>
  </w:style>
  <w:style w:type="character" w:styleId="Lienhypertextesuivivisit">
    <w:name w:val="FollowedHyperlink"/>
    <w:basedOn w:val="Policepardfaut"/>
    <w:uiPriority w:val="99"/>
    <w:semiHidden/>
    <w:unhideWhenUsed/>
    <w:rsid w:val="00F8006D"/>
    <w:rPr>
      <w:color w:val="800080" w:themeColor="followedHyperlink"/>
      <w:u w:val="single"/>
    </w:rPr>
  </w:style>
  <w:style w:type="character" w:customStyle="1" w:styleId="ParagraphedelisteCar">
    <w:name w:val="Paragraphe de liste Car"/>
    <w:basedOn w:val="Policepardfaut"/>
    <w:link w:val="Paragraphedeliste"/>
    <w:uiPriority w:val="34"/>
    <w:rsid w:val="004F3CF7"/>
    <w:rPr>
      <w:rFonts w:ascii="Times New Roman" w:eastAsia="Times New Roman" w:hAnsi="Times New Roman" w:cs="Times New Roman"/>
      <w:sz w:val="20"/>
      <w:szCs w:val="20"/>
      <w:lang w:eastAsia="fr-FR"/>
    </w:rPr>
  </w:style>
  <w:style w:type="paragraph" w:customStyle="1" w:styleId="Normal1">
    <w:name w:val="Normal1"/>
    <w:basedOn w:val="Normal"/>
    <w:rsid w:val="004F3CF7"/>
    <w:pPr>
      <w:spacing w:before="100" w:beforeAutospacing="1" w:after="100" w:afterAutospacing="1"/>
    </w:pPr>
    <w:rPr>
      <w:sz w:val="24"/>
      <w:szCs w:val="24"/>
    </w:rPr>
  </w:style>
  <w:style w:type="paragraph" w:styleId="Commentaire">
    <w:name w:val="annotation text"/>
    <w:basedOn w:val="Normal"/>
    <w:link w:val="CommentaireCar"/>
    <w:uiPriority w:val="99"/>
    <w:semiHidden/>
    <w:unhideWhenUsed/>
    <w:rsid w:val="00A909A8"/>
  </w:style>
  <w:style w:type="character" w:customStyle="1" w:styleId="CommentaireCar">
    <w:name w:val="Commentaire Car"/>
    <w:basedOn w:val="Policepardfaut"/>
    <w:link w:val="Commentaire"/>
    <w:uiPriority w:val="99"/>
    <w:semiHidden/>
    <w:rsid w:val="00A909A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909A8"/>
    <w:rPr>
      <w:b/>
      <w:bCs/>
    </w:rPr>
  </w:style>
  <w:style w:type="character" w:customStyle="1" w:styleId="ObjetducommentaireCar">
    <w:name w:val="Objet du commentaire Car"/>
    <w:basedOn w:val="CommentaireCar"/>
    <w:link w:val="Objetducommentaire"/>
    <w:uiPriority w:val="99"/>
    <w:semiHidden/>
    <w:rsid w:val="00A909A8"/>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306593">
      <w:bodyDiv w:val="1"/>
      <w:marLeft w:val="0"/>
      <w:marRight w:val="0"/>
      <w:marTop w:val="0"/>
      <w:marBottom w:val="0"/>
      <w:divBdr>
        <w:top w:val="none" w:sz="0" w:space="0" w:color="auto"/>
        <w:left w:val="none" w:sz="0" w:space="0" w:color="auto"/>
        <w:bottom w:val="none" w:sz="0" w:space="0" w:color="auto"/>
        <w:right w:val="none" w:sz="0" w:space="0" w:color="auto"/>
      </w:divBdr>
      <w:divsChild>
        <w:div w:id="462581920">
          <w:marLeft w:val="0"/>
          <w:marRight w:val="0"/>
          <w:marTop w:val="0"/>
          <w:marBottom w:val="0"/>
          <w:divBdr>
            <w:top w:val="none" w:sz="0" w:space="0" w:color="auto"/>
            <w:left w:val="none" w:sz="0" w:space="0" w:color="auto"/>
            <w:bottom w:val="none" w:sz="0" w:space="0" w:color="auto"/>
            <w:right w:val="none" w:sz="0" w:space="0" w:color="auto"/>
          </w:divBdr>
        </w:div>
      </w:divsChild>
    </w:div>
    <w:div w:id="2132362317">
      <w:bodyDiv w:val="1"/>
      <w:marLeft w:val="0"/>
      <w:marRight w:val="0"/>
      <w:marTop w:val="0"/>
      <w:marBottom w:val="0"/>
      <w:divBdr>
        <w:top w:val="none" w:sz="0" w:space="0" w:color="auto"/>
        <w:left w:val="none" w:sz="0" w:space="0" w:color="auto"/>
        <w:bottom w:val="none" w:sz="0" w:space="0" w:color="auto"/>
        <w:right w:val="none" w:sz="0" w:space="0" w:color="auto"/>
      </w:divBdr>
      <w:divsChild>
        <w:div w:id="1586959698">
          <w:marLeft w:val="0"/>
          <w:marRight w:val="0"/>
          <w:marTop w:val="0"/>
          <w:marBottom w:val="0"/>
          <w:divBdr>
            <w:top w:val="none" w:sz="0" w:space="0" w:color="auto"/>
            <w:left w:val="none" w:sz="0" w:space="0" w:color="auto"/>
            <w:bottom w:val="none" w:sz="0" w:space="0" w:color="auto"/>
            <w:right w:val="none" w:sz="0" w:space="0" w:color="auto"/>
          </w:divBdr>
        </w:div>
        <w:div w:id="1718309962">
          <w:marLeft w:val="0"/>
          <w:marRight w:val="0"/>
          <w:marTop w:val="0"/>
          <w:marBottom w:val="0"/>
          <w:divBdr>
            <w:top w:val="none" w:sz="0" w:space="0" w:color="auto"/>
            <w:left w:val="none" w:sz="0" w:space="0" w:color="auto"/>
            <w:bottom w:val="none" w:sz="0" w:space="0" w:color="auto"/>
            <w:right w:val="none" w:sz="0" w:space="0" w:color="auto"/>
          </w:divBdr>
        </w:div>
        <w:div w:id="1128743960">
          <w:marLeft w:val="0"/>
          <w:marRight w:val="0"/>
          <w:marTop w:val="0"/>
          <w:marBottom w:val="0"/>
          <w:divBdr>
            <w:top w:val="none" w:sz="0" w:space="0" w:color="auto"/>
            <w:left w:val="none" w:sz="0" w:space="0" w:color="auto"/>
            <w:bottom w:val="none" w:sz="0" w:space="0" w:color="auto"/>
            <w:right w:val="none" w:sz="0" w:space="0" w:color="auto"/>
          </w:divBdr>
        </w:div>
        <w:div w:id="1520201163">
          <w:marLeft w:val="0"/>
          <w:marRight w:val="0"/>
          <w:marTop w:val="0"/>
          <w:marBottom w:val="0"/>
          <w:divBdr>
            <w:top w:val="none" w:sz="0" w:space="0" w:color="auto"/>
            <w:left w:val="none" w:sz="0" w:space="0" w:color="auto"/>
            <w:bottom w:val="none" w:sz="0" w:space="0" w:color="auto"/>
            <w:right w:val="none" w:sz="0" w:space="0" w:color="auto"/>
          </w:divBdr>
        </w:div>
        <w:div w:id="844592421">
          <w:marLeft w:val="0"/>
          <w:marRight w:val="0"/>
          <w:marTop w:val="0"/>
          <w:marBottom w:val="0"/>
          <w:divBdr>
            <w:top w:val="none" w:sz="0" w:space="0" w:color="auto"/>
            <w:left w:val="none" w:sz="0" w:space="0" w:color="auto"/>
            <w:bottom w:val="none" w:sz="0" w:space="0" w:color="auto"/>
            <w:right w:val="none" w:sz="0" w:space="0" w:color="auto"/>
          </w:divBdr>
        </w:div>
        <w:div w:id="795829367">
          <w:marLeft w:val="0"/>
          <w:marRight w:val="0"/>
          <w:marTop w:val="0"/>
          <w:marBottom w:val="0"/>
          <w:divBdr>
            <w:top w:val="none" w:sz="0" w:space="0" w:color="auto"/>
            <w:left w:val="none" w:sz="0" w:space="0" w:color="auto"/>
            <w:bottom w:val="none" w:sz="0" w:space="0" w:color="auto"/>
            <w:right w:val="none" w:sz="0" w:space="0" w:color="auto"/>
          </w:divBdr>
        </w:div>
        <w:div w:id="1072238503">
          <w:marLeft w:val="0"/>
          <w:marRight w:val="0"/>
          <w:marTop w:val="0"/>
          <w:marBottom w:val="0"/>
          <w:divBdr>
            <w:top w:val="none" w:sz="0" w:space="0" w:color="auto"/>
            <w:left w:val="none" w:sz="0" w:space="0" w:color="auto"/>
            <w:bottom w:val="none" w:sz="0" w:space="0" w:color="auto"/>
            <w:right w:val="none" w:sz="0" w:space="0" w:color="auto"/>
          </w:divBdr>
        </w:div>
        <w:div w:id="266499313">
          <w:marLeft w:val="0"/>
          <w:marRight w:val="0"/>
          <w:marTop w:val="0"/>
          <w:marBottom w:val="0"/>
          <w:divBdr>
            <w:top w:val="none" w:sz="0" w:space="0" w:color="auto"/>
            <w:left w:val="none" w:sz="0" w:space="0" w:color="auto"/>
            <w:bottom w:val="none" w:sz="0" w:space="0" w:color="auto"/>
            <w:right w:val="none" w:sz="0" w:space="0" w:color="auto"/>
          </w:divBdr>
        </w:div>
        <w:div w:id="1794665630">
          <w:marLeft w:val="0"/>
          <w:marRight w:val="0"/>
          <w:marTop w:val="0"/>
          <w:marBottom w:val="0"/>
          <w:divBdr>
            <w:top w:val="none" w:sz="0" w:space="0" w:color="auto"/>
            <w:left w:val="none" w:sz="0" w:space="0" w:color="auto"/>
            <w:bottom w:val="none" w:sz="0" w:space="0" w:color="auto"/>
            <w:right w:val="none" w:sz="0" w:space="0" w:color="auto"/>
          </w:divBdr>
        </w:div>
        <w:div w:id="616330680">
          <w:marLeft w:val="0"/>
          <w:marRight w:val="0"/>
          <w:marTop w:val="0"/>
          <w:marBottom w:val="0"/>
          <w:divBdr>
            <w:top w:val="none" w:sz="0" w:space="0" w:color="auto"/>
            <w:left w:val="none" w:sz="0" w:space="0" w:color="auto"/>
            <w:bottom w:val="none" w:sz="0" w:space="0" w:color="auto"/>
            <w:right w:val="none" w:sz="0" w:space="0" w:color="auto"/>
          </w:divBdr>
        </w:div>
        <w:div w:id="1156997914">
          <w:marLeft w:val="0"/>
          <w:marRight w:val="0"/>
          <w:marTop w:val="0"/>
          <w:marBottom w:val="0"/>
          <w:divBdr>
            <w:top w:val="none" w:sz="0" w:space="0" w:color="auto"/>
            <w:left w:val="none" w:sz="0" w:space="0" w:color="auto"/>
            <w:bottom w:val="none" w:sz="0" w:space="0" w:color="auto"/>
            <w:right w:val="none" w:sz="0" w:space="0" w:color="auto"/>
          </w:divBdr>
        </w:div>
        <w:div w:id="263153391">
          <w:marLeft w:val="0"/>
          <w:marRight w:val="0"/>
          <w:marTop w:val="0"/>
          <w:marBottom w:val="0"/>
          <w:divBdr>
            <w:top w:val="none" w:sz="0" w:space="0" w:color="auto"/>
            <w:left w:val="none" w:sz="0" w:space="0" w:color="auto"/>
            <w:bottom w:val="none" w:sz="0" w:space="0" w:color="auto"/>
            <w:right w:val="none" w:sz="0" w:space="0" w:color="auto"/>
          </w:divBdr>
        </w:div>
        <w:div w:id="202296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FR/AUTO/?uri=uriserv:240602_2" TargetMode="External"/><Relationship Id="rId18" Type="http://schemas.openxmlformats.org/officeDocument/2006/relationships/hyperlink" Target="https://www.legifrance.gouv.fr/affichTexteArticle.do;jsessionid=09D657F26BCEFADBB62E90F6D526D8FD.tpdila20v_2?cidTexte=JORFTEXT000032297352&amp;idArticle=JORFARTI000032297353&amp;dateTexte=20160327&amp;categorieLien=cid" TargetMode="External"/><Relationship Id="rId26" Type="http://schemas.openxmlformats.org/officeDocument/2006/relationships/hyperlink" Target="http://ec.europa.eu/regional_policy/sources/docoffic/cocof/2013/cocof_13_9527_fr.pdf" TargetMode="External"/><Relationship Id="rId39" Type="http://schemas.openxmlformats.org/officeDocument/2006/relationships/hyperlink" Target="https://www.economie.gouv.fr/files/files/directions_services/daj/marches_publics/conseil_acheteurs/guides/guide-bonnes-pratiques-mp.pdf" TargetMode="External"/><Relationship Id="rId3" Type="http://schemas.openxmlformats.org/officeDocument/2006/relationships/styles" Target="styles.xml"/><Relationship Id="rId21" Type="http://schemas.openxmlformats.org/officeDocument/2006/relationships/hyperlink" Target="https://www.legifrance.gouv.fr/affichTexte.do?cidTexte=JORFTEXT000032297370" TargetMode="External"/><Relationship Id="rId34" Type="http://schemas.openxmlformats.org/officeDocument/2006/relationships/hyperlink" Target="http://www.economie.gouv.fr/daj/conseil-acheteurs-fiches-techniques" TargetMode="External"/><Relationship Id="rId42" Type="http://schemas.openxmlformats.org/officeDocument/2006/relationships/hyperlink" Target="http://www.economie.gouv.fr/daj/conseil-acheteurs-fiches-techniques" TargetMode="External"/><Relationship Id="rId47" Type="http://schemas.openxmlformats.org/officeDocument/2006/relationships/hyperlink" Target="https://www.economie.gouv.fr/files/files/directions_services/daj/marches_publics/conseil_acheteurs/guides/guide-bonnes-pratiques-mp.pdf" TargetMode="External"/><Relationship Id="rId50" Type="http://schemas.openxmlformats.org/officeDocument/2006/relationships/hyperlink" Target="https://www.economie.gouv.fr/files/files/directions_services/daj/marches_publics/conseil_acheteurs/guides/guide-bonnes-pratiques-mp.pdf" TargetMode="External"/><Relationship Id="rId7" Type="http://schemas.openxmlformats.org/officeDocument/2006/relationships/footnotes" Target="footnotes.xml"/><Relationship Id="rId12" Type="http://schemas.openxmlformats.org/officeDocument/2006/relationships/hyperlink" Target="http://eur-lex.europa.eu/legal-content/FR/AUTO/?uri=celex:32014L0025" TargetMode="External"/><Relationship Id="rId17" Type="http://schemas.openxmlformats.org/officeDocument/2006/relationships/hyperlink" Target="https://www.legifrance.gouv.fr/affichTexte.do?cidTexte=JORFTEXT000032297346&amp;dateTexte=&amp;categorieLien=id" TargetMode="External"/><Relationship Id="rId25" Type="http://schemas.openxmlformats.org/officeDocument/2006/relationships/footer" Target="footer1.xml"/><Relationship Id="rId33" Type="http://schemas.openxmlformats.org/officeDocument/2006/relationships/hyperlink" Target="http://www.economie.gouv.fr/daj/conseil-acheteurs-tableaux" TargetMode="External"/><Relationship Id="rId38" Type="http://schemas.openxmlformats.org/officeDocument/2006/relationships/hyperlink" Target="https://www.economie.gouv.fr/files/files/directions_services/daj/marches_publics/conseil_acheteurs/guides/guide-bonnes-pratiques-mp.pdf" TargetMode="External"/><Relationship Id="rId46" Type="http://schemas.openxmlformats.org/officeDocument/2006/relationships/hyperlink" Target="http://www.economie.gouv.fr/daj/conseil-acheteurs-fiches-techniques"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32320619&amp;dateTexte=&amp;categorieLien=id" TargetMode="External"/><Relationship Id="rId20" Type="http://schemas.openxmlformats.org/officeDocument/2006/relationships/hyperlink" Target="https://www.legifrance.gouv.fr/affichTexte.do?cidTexte=JORFTEXT000032297358" TargetMode="External"/><Relationship Id="rId29" Type="http://schemas.openxmlformats.org/officeDocument/2006/relationships/hyperlink" Target="http://www.economie.gouv.fr/daj/conseil-acheteurs-tableaux" TargetMode="External"/><Relationship Id="rId41" Type="http://schemas.openxmlformats.org/officeDocument/2006/relationships/hyperlink" Target="https://www.economie.gouv.fr/files/files/directions_services/daj/marches_publics/conseil_acheteurs/guides/guide-bonnes-pratiques-mp.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FR/AUTO/?uri=uriserv:180203_1" TargetMode="External"/><Relationship Id="rId24" Type="http://schemas.openxmlformats.org/officeDocument/2006/relationships/hyperlink" Target="https://www.economie.gouv.fr/files/files/directions_services/daj/marches_publics/conseil_acheteurs/fiches-techniques/marches-partenariat/marches-partenariat.pdf" TargetMode="External"/><Relationship Id="rId32" Type="http://schemas.openxmlformats.org/officeDocument/2006/relationships/hyperlink" Target="https://www.economie.gouv.fr/files/files/directions_services/daj/marches_publics/conseil_acheteurs/fiches-techniques/mise-en-oeuvre-procedure/interet-transfrontalier-certain-2017.pdf" TargetMode="External"/><Relationship Id="rId37" Type="http://schemas.openxmlformats.org/officeDocument/2006/relationships/hyperlink" Target="https://www.economie.gouv.fr/files/files/directions_services/daj/marches_publics/conseil_acheteurs/guides/guide-bonnes-pratiques-mp.pdf" TargetMode="External"/><Relationship Id="rId40" Type="http://schemas.openxmlformats.org/officeDocument/2006/relationships/hyperlink" Target="http://www.economie.gouv.fr/daj/conseil-acheteurs-fiches-techniques" TargetMode="External"/><Relationship Id="rId45" Type="http://schemas.openxmlformats.org/officeDocument/2006/relationships/hyperlink" Target="https://www.economie.gouv.fr/files/files/directions_services/daj/marches_publics/conseil_acheteurs/guides/guide-bonnes-pratiques-mp.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ur-lex.europa.eu/legal-content/FR/AUTO/?uri=uriserv:240602_1" TargetMode="External"/><Relationship Id="rId23" Type="http://schemas.openxmlformats.org/officeDocument/2006/relationships/hyperlink" Target="http://www.legifrance.gouv.fr/affichJuriAdmin.do?oldAction=rechJuriAdmin&amp;idTexte=CETATEXT000018259435&amp;fastReqId=112946813&amp;fastPos=1" TargetMode="External"/><Relationship Id="rId28" Type="http://schemas.openxmlformats.org/officeDocument/2006/relationships/hyperlink" Target="https://www.economie.gouv.fr/files/directions_services/daj/marches_publics/conseil_acheteurs/deroulement-procedures/aoo-2016.pdf" TargetMode="External"/><Relationship Id="rId36" Type="http://schemas.openxmlformats.org/officeDocument/2006/relationships/hyperlink" Target="http://www.economie.gouv.fr/daj/conseil-acheteurs-tableaux" TargetMode="External"/><Relationship Id="rId49" Type="http://schemas.openxmlformats.org/officeDocument/2006/relationships/hyperlink" Target="https://www.economie.gouv.fr/files/files/directions_services/daj/marches_publics/conseil_acheteurs/guides/guide-bonnes-pratiques-mp.pdf" TargetMode="External"/><Relationship Id="rId10" Type="http://schemas.openxmlformats.org/officeDocument/2006/relationships/hyperlink" Target="http://eur-lex.europa.eu/legal-content/FR/AUTO/?uri=celex:32014L0024" TargetMode="External"/><Relationship Id="rId19" Type="http://schemas.openxmlformats.org/officeDocument/2006/relationships/hyperlink" Target="https://www.legifrance.gouv.fr/affichTexte.do?cidTexte=JORFTEXT000032297374" TargetMode="External"/><Relationship Id="rId31" Type="http://schemas.openxmlformats.org/officeDocument/2006/relationships/hyperlink" Target="https://www.economie.gouv.fr/files/files/directions_services/daj/marches_publics/conseil_acheteurs/guides/guide-bonnes-pratiques-mp.pdf" TargetMode="External"/><Relationship Id="rId44" Type="http://schemas.openxmlformats.org/officeDocument/2006/relationships/hyperlink" Target="http://www.economie.gouv.fr/daj/conseil-acheteurs-fiches-techniques" TargetMode="External"/><Relationship Id="rId52" Type="http://schemas.openxmlformats.org/officeDocument/2006/relationships/hyperlink" Target="http://eur-lex.europa.eu/LexUriServ/LexUriServ.do?uri=OJ:C:2006:179:0002:0007:FR:PDF" TargetMode="External"/><Relationship Id="rId4" Type="http://schemas.microsoft.com/office/2007/relationships/stylesWithEffects" Target="stylesWithEffects.xml"/><Relationship Id="rId9" Type="http://schemas.openxmlformats.org/officeDocument/2006/relationships/hyperlink" Target="http://www.economie.gouv.fr/daj" TargetMode="External"/><Relationship Id="rId14" Type="http://schemas.openxmlformats.org/officeDocument/2006/relationships/hyperlink" Target="http://eur-lex.europa.eu/legal-content/FR/AUTO/?uri=celex:32014L0023" TargetMode="External"/><Relationship Id="rId22" Type="http://schemas.openxmlformats.org/officeDocument/2006/relationships/image" Target="media/image1.png"/><Relationship Id="rId27" Type="http://schemas.openxmlformats.org/officeDocument/2006/relationships/hyperlink" Target="https://www.economie.gouv.fr/files/files/directions_services/daj/marches_publics/conseil_acheteurs/fiches-techniques/mise-en-oeuvre-procedure/interet-transfrontalier-certain-2017.pdf" TargetMode="External"/><Relationship Id="rId30" Type="http://schemas.openxmlformats.org/officeDocument/2006/relationships/hyperlink" Target="http://www.economie.gouv.fr/daj/conseil-acheteurs-fiches-techniques" TargetMode="External"/><Relationship Id="rId35" Type="http://schemas.openxmlformats.org/officeDocument/2006/relationships/hyperlink" Target="http://www.economie.gouv.fr/daj/formulaires" TargetMode="External"/><Relationship Id="rId43" Type="http://schemas.openxmlformats.org/officeDocument/2006/relationships/hyperlink" Target="https://www.economie.gouv.fr/files/files/directions_services/daj/marches_publics/conseil_acheteurs/guides/guide-bonnes-pratiques-mp.pdf" TargetMode="External"/><Relationship Id="rId48" Type="http://schemas.openxmlformats.org/officeDocument/2006/relationships/hyperlink" Target="http://www.economie.gouv.fr/daj/conseil-acheteurs-fiches-techniques" TargetMode="External"/><Relationship Id="rId8" Type="http://schemas.openxmlformats.org/officeDocument/2006/relationships/endnotes" Target="endnotes.xml"/><Relationship Id="rId51" Type="http://schemas.openxmlformats.org/officeDocument/2006/relationships/hyperlink" Target="http://eur-lex.europa.eu/LexUriServ/LexUriServ.do?uri=OJ:C:2006:179:0002:0007:FR: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economie.gouv.fr/da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3FA7-178F-4F7B-BA4E-99A7D525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4346</Words>
  <Characters>23904</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lamsili</dc:creator>
  <cp:lastModifiedBy>MELKA Pauline</cp:lastModifiedBy>
  <cp:revision>3</cp:revision>
  <dcterms:created xsi:type="dcterms:W3CDTF">2017-08-31T16:29:00Z</dcterms:created>
  <dcterms:modified xsi:type="dcterms:W3CDTF">2017-10-16T12:33:00Z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id">
    <vt:lpwstr>382568</vt:lpwstr>
  </property>
  <property fmtid="{D5CDD505-2E9C-101B-9397-08002B2CF9AE}" pid="3" name="vid">
    <vt:lpwstr>393386</vt:lpwstr>
  </property>
  <property fmtid="{D5CDD505-2E9C-101B-9397-08002B2CF9AE}" pid="4" name="token">
    <vt:lpwstr>011c96649aea672da8b861c57fcb189772ba70b9</vt:lpwstr>
  </property>
</Properties>
</file>